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07F" w:rsidRPr="00B42542" w:rsidRDefault="0040107F" w:rsidP="009E4637">
      <w:pPr>
        <w:spacing w:after="180"/>
        <w:ind w:left="720"/>
      </w:pPr>
      <w:bookmarkStart w:id="0" w:name="_GoBack"/>
      <w:bookmarkEnd w:id="0"/>
    </w:p>
    <w:p w:rsidR="00BD1E17" w:rsidRPr="009F5998" w:rsidRDefault="00BD1E17" w:rsidP="009E4637">
      <w:pPr>
        <w:spacing w:after="180"/>
        <w:jc w:val="center"/>
        <w:rPr>
          <w:b/>
        </w:rPr>
      </w:pPr>
      <w:r w:rsidRPr="009F5998">
        <w:rPr>
          <w:b/>
        </w:rPr>
        <w:t>Table of Contents</w:t>
      </w:r>
    </w:p>
    <w:p w:rsidR="00F467D4" w:rsidRDefault="00D15FCD">
      <w:pPr>
        <w:pStyle w:val="TOC1"/>
        <w:rPr>
          <w:rFonts w:asciiTheme="minorHAnsi" w:eastAsiaTheme="minorEastAsia" w:hAnsiTheme="minorHAnsi" w:cstheme="minorBidi"/>
          <w:noProof/>
          <w:lang w:eastAsia="zh-CN"/>
        </w:rPr>
      </w:pPr>
      <w:r w:rsidRPr="00B42542">
        <w:fldChar w:fldCharType="begin"/>
      </w:r>
      <w:r w:rsidRPr="00B42542">
        <w:instrText xml:space="preserve"> TOC \o "1-1" \h \z \u </w:instrText>
      </w:r>
      <w:r w:rsidRPr="00B42542">
        <w:fldChar w:fldCharType="separate"/>
      </w:r>
      <w:hyperlink w:anchor="_Toc451542989" w:history="1">
        <w:r w:rsidR="00F467D4" w:rsidRPr="00D71BD6">
          <w:rPr>
            <w:rStyle w:val="Hyperlink"/>
            <w:noProof/>
          </w:rPr>
          <w:t>I.</w:t>
        </w:r>
        <w:r w:rsidR="00F467D4">
          <w:rPr>
            <w:rFonts w:asciiTheme="minorHAnsi" w:eastAsiaTheme="minorEastAsia" w:hAnsiTheme="minorHAnsi" w:cstheme="minorBidi"/>
            <w:noProof/>
            <w:lang w:eastAsia="zh-CN"/>
          </w:rPr>
          <w:tab/>
        </w:r>
        <w:r w:rsidR="00F467D4" w:rsidRPr="00D71BD6">
          <w:rPr>
            <w:rStyle w:val="Hyperlink"/>
            <w:noProof/>
          </w:rPr>
          <w:t>FY 2015 CoC Program Competition Overview</w:t>
        </w:r>
        <w:r w:rsidR="00F467D4">
          <w:rPr>
            <w:noProof/>
            <w:webHidden/>
          </w:rPr>
          <w:tab/>
        </w:r>
        <w:r w:rsidR="00F467D4">
          <w:rPr>
            <w:noProof/>
            <w:webHidden/>
          </w:rPr>
          <w:fldChar w:fldCharType="begin"/>
        </w:r>
        <w:r w:rsidR="00F467D4">
          <w:rPr>
            <w:noProof/>
            <w:webHidden/>
          </w:rPr>
          <w:instrText xml:space="preserve"> PAGEREF _Toc451542989 \h </w:instrText>
        </w:r>
        <w:r w:rsidR="00F467D4">
          <w:rPr>
            <w:noProof/>
            <w:webHidden/>
          </w:rPr>
        </w:r>
        <w:r w:rsidR="00F467D4">
          <w:rPr>
            <w:noProof/>
            <w:webHidden/>
          </w:rPr>
          <w:fldChar w:fldCharType="separate"/>
        </w:r>
        <w:r w:rsidR="00F467D4">
          <w:rPr>
            <w:noProof/>
            <w:webHidden/>
          </w:rPr>
          <w:t>2</w:t>
        </w:r>
        <w:r w:rsidR="00F467D4">
          <w:rPr>
            <w:noProof/>
            <w:webHidden/>
          </w:rPr>
          <w:fldChar w:fldCharType="end"/>
        </w:r>
      </w:hyperlink>
    </w:p>
    <w:p w:rsidR="00F467D4" w:rsidRDefault="00075490">
      <w:pPr>
        <w:pStyle w:val="TOC1"/>
        <w:rPr>
          <w:rFonts w:asciiTheme="minorHAnsi" w:eastAsiaTheme="minorEastAsia" w:hAnsiTheme="minorHAnsi" w:cstheme="minorBidi"/>
          <w:noProof/>
          <w:lang w:eastAsia="zh-CN"/>
        </w:rPr>
      </w:pPr>
      <w:hyperlink w:anchor="_Toc451542990" w:history="1">
        <w:r w:rsidR="00F467D4" w:rsidRPr="00D71BD6">
          <w:rPr>
            <w:rStyle w:val="Hyperlink"/>
            <w:noProof/>
          </w:rPr>
          <w:t>II.</w:t>
        </w:r>
        <w:r w:rsidR="00F467D4">
          <w:rPr>
            <w:rFonts w:asciiTheme="minorHAnsi" w:eastAsiaTheme="minorEastAsia" w:hAnsiTheme="minorHAnsi" w:cstheme="minorBidi"/>
            <w:noProof/>
            <w:lang w:eastAsia="zh-CN"/>
          </w:rPr>
          <w:tab/>
        </w:r>
        <w:r w:rsidR="00F467D4" w:rsidRPr="00D71BD6">
          <w:rPr>
            <w:rStyle w:val="Hyperlink"/>
            <w:noProof/>
          </w:rPr>
          <w:t>Competition Summary:</w:t>
        </w:r>
        <w:r w:rsidR="00F467D4">
          <w:rPr>
            <w:noProof/>
            <w:webHidden/>
          </w:rPr>
          <w:tab/>
        </w:r>
        <w:r w:rsidR="00F467D4">
          <w:rPr>
            <w:noProof/>
            <w:webHidden/>
          </w:rPr>
          <w:fldChar w:fldCharType="begin"/>
        </w:r>
        <w:r w:rsidR="00F467D4">
          <w:rPr>
            <w:noProof/>
            <w:webHidden/>
          </w:rPr>
          <w:instrText xml:space="preserve"> PAGEREF _Toc451542990 \h </w:instrText>
        </w:r>
        <w:r w:rsidR="00F467D4">
          <w:rPr>
            <w:noProof/>
            <w:webHidden/>
          </w:rPr>
        </w:r>
        <w:r w:rsidR="00F467D4">
          <w:rPr>
            <w:noProof/>
            <w:webHidden/>
          </w:rPr>
          <w:fldChar w:fldCharType="separate"/>
        </w:r>
        <w:r w:rsidR="00F467D4">
          <w:rPr>
            <w:noProof/>
            <w:webHidden/>
          </w:rPr>
          <w:t>2</w:t>
        </w:r>
        <w:r w:rsidR="00F467D4">
          <w:rPr>
            <w:noProof/>
            <w:webHidden/>
          </w:rPr>
          <w:fldChar w:fldCharType="end"/>
        </w:r>
      </w:hyperlink>
    </w:p>
    <w:p w:rsidR="00F467D4" w:rsidRDefault="00075490">
      <w:pPr>
        <w:pStyle w:val="TOC1"/>
        <w:rPr>
          <w:rFonts w:asciiTheme="minorHAnsi" w:eastAsiaTheme="minorEastAsia" w:hAnsiTheme="minorHAnsi" w:cstheme="minorBidi"/>
          <w:noProof/>
          <w:lang w:eastAsia="zh-CN"/>
        </w:rPr>
      </w:pPr>
      <w:hyperlink w:anchor="_Toc451542991" w:history="1">
        <w:r w:rsidR="00F467D4" w:rsidRPr="00D71BD6">
          <w:rPr>
            <w:rStyle w:val="Hyperlink"/>
            <w:noProof/>
          </w:rPr>
          <w:t>III.</w:t>
        </w:r>
        <w:r w:rsidR="00F467D4">
          <w:rPr>
            <w:rFonts w:asciiTheme="minorHAnsi" w:eastAsiaTheme="minorEastAsia" w:hAnsiTheme="minorHAnsi" w:cstheme="minorBidi"/>
            <w:noProof/>
            <w:lang w:eastAsia="zh-CN"/>
          </w:rPr>
          <w:tab/>
        </w:r>
        <w:r w:rsidR="00F467D4" w:rsidRPr="00D71BD6">
          <w:rPr>
            <w:rStyle w:val="Hyperlink"/>
            <w:noProof/>
          </w:rPr>
          <w:t>Tier 1 and Tier 2</w:t>
        </w:r>
        <w:r w:rsidR="00F467D4">
          <w:rPr>
            <w:noProof/>
            <w:webHidden/>
          </w:rPr>
          <w:tab/>
        </w:r>
        <w:r w:rsidR="00F467D4">
          <w:rPr>
            <w:noProof/>
            <w:webHidden/>
          </w:rPr>
          <w:fldChar w:fldCharType="begin"/>
        </w:r>
        <w:r w:rsidR="00F467D4">
          <w:rPr>
            <w:noProof/>
            <w:webHidden/>
          </w:rPr>
          <w:instrText xml:space="preserve"> PAGEREF _Toc451542991 \h </w:instrText>
        </w:r>
        <w:r w:rsidR="00F467D4">
          <w:rPr>
            <w:noProof/>
            <w:webHidden/>
          </w:rPr>
        </w:r>
        <w:r w:rsidR="00F467D4">
          <w:rPr>
            <w:noProof/>
            <w:webHidden/>
          </w:rPr>
          <w:fldChar w:fldCharType="separate"/>
        </w:r>
        <w:r w:rsidR="00F467D4">
          <w:rPr>
            <w:noProof/>
            <w:webHidden/>
          </w:rPr>
          <w:t>3</w:t>
        </w:r>
        <w:r w:rsidR="00F467D4">
          <w:rPr>
            <w:noProof/>
            <w:webHidden/>
          </w:rPr>
          <w:fldChar w:fldCharType="end"/>
        </w:r>
      </w:hyperlink>
    </w:p>
    <w:p w:rsidR="00F467D4" w:rsidRDefault="00075490">
      <w:pPr>
        <w:pStyle w:val="TOC1"/>
        <w:rPr>
          <w:rFonts w:asciiTheme="minorHAnsi" w:eastAsiaTheme="minorEastAsia" w:hAnsiTheme="minorHAnsi" w:cstheme="minorBidi"/>
          <w:noProof/>
          <w:lang w:eastAsia="zh-CN"/>
        </w:rPr>
      </w:pPr>
      <w:hyperlink w:anchor="_Toc451542992" w:history="1">
        <w:r w:rsidR="00F467D4" w:rsidRPr="00D71BD6">
          <w:rPr>
            <w:rStyle w:val="Hyperlink"/>
            <w:noProof/>
          </w:rPr>
          <w:t>IV.</w:t>
        </w:r>
        <w:r w:rsidR="00F467D4">
          <w:rPr>
            <w:rFonts w:asciiTheme="minorHAnsi" w:eastAsiaTheme="minorEastAsia" w:hAnsiTheme="minorHAnsi" w:cstheme="minorBidi"/>
            <w:noProof/>
            <w:lang w:eastAsia="zh-CN"/>
          </w:rPr>
          <w:tab/>
        </w:r>
        <w:r w:rsidR="00F467D4" w:rsidRPr="00D71BD6">
          <w:rPr>
            <w:rStyle w:val="Hyperlink"/>
            <w:noProof/>
          </w:rPr>
          <w:t>Establishing CoC’s ARD</w:t>
        </w:r>
        <w:r w:rsidR="00F467D4">
          <w:rPr>
            <w:noProof/>
            <w:webHidden/>
          </w:rPr>
          <w:tab/>
        </w:r>
        <w:r w:rsidR="00F467D4">
          <w:rPr>
            <w:noProof/>
            <w:webHidden/>
          </w:rPr>
          <w:fldChar w:fldCharType="begin"/>
        </w:r>
        <w:r w:rsidR="00F467D4">
          <w:rPr>
            <w:noProof/>
            <w:webHidden/>
          </w:rPr>
          <w:instrText xml:space="preserve"> PAGEREF _Toc451542992 \h </w:instrText>
        </w:r>
        <w:r w:rsidR="00F467D4">
          <w:rPr>
            <w:noProof/>
            <w:webHidden/>
          </w:rPr>
        </w:r>
        <w:r w:rsidR="00F467D4">
          <w:rPr>
            <w:noProof/>
            <w:webHidden/>
          </w:rPr>
          <w:fldChar w:fldCharType="separate"/>
        </w:r>
        <w:r w:rsidR="00F467D4">
          <w:rPr>
            <w:noProof/>
            <w:webHidden/>
          </w:rPr>
          <w:t>4</w:t>
        </w:r>
        <w:r w:rsidR="00F467D4">
          <w:rPr>
            <w:noProof/>
            <w:webHidden/>
          </w:rPr>
          <w:fldChar w:fldCharType="end"/>
        </w:r>
      </w:hyperlink>
    </w:p>
    <w:p w:rsidR="00F467D4" w:rsidRDefault="00075490">
      <w:pPr>
        <w:pStyle w:val="TOC1"/>
        <w:rPr>
          <w:rFonts w:asciiTheme="minorHAnsi" w:eastAsiaTheme="minorEastAsia" w:hAnsiTheme="minorHAnsi" w:cstheme="minorBidi"/>
          <w:noProof/>
          <w:lang w:eastAsia="zh-CN"/>
        </w:rPr>
      </w:pPr>
      <w:hyperlink w:anchor="_Toc451542993" w:history="1">
        <w:r w:rsidR="00F467D4" w:rsidRPr="00D71BD6">
          <w:rPr>
            <w:rStyle w:val="Hyperlink"/>
            <w:noProof/>
          </w:rPr>
          <w:t>V.</w:t>
        </w:r>
        <w:r w:rsidR="00F467D4">
          <w:rPr>
            <w:rFonts w:asciiTheme="minorHAnsi" w:eastAsiaTheme="minorEastAsia" w:hAnsiTheme="minorHAnsi" w:cstheme="minorBidi"/>
            <w:noProof/>
            <w:lang w:eastAsia="zh-CN"/>
          </w:rPr>
          <w:tab/>
        </w:r>
        <w:r w:rsidR="00F467D4" w:rsidRPr="00D71BD6">
          <w:rPr>
            <w:rStyle w:val="Hyperlink"/>
            <w:noProof/>
          </w:rPr>
          <w:t>Project and CoC Applications</w:t>
        </w:r>
        <w:r w:rsidR="00F467D4">
          <w:rPr>
            <w:noProof/>
            <w:webHidden/>
          </w:rPr>
          <w:tab/>
        </w:r>
        <w:r w:rsidR="00F467D4">
          <w:rPr>
            <w:noProof/>
            <w:webHidden/>
          </w:rPr>
          <w:fldChar w:fldCharType="begin"/>
        </w:r>
        <w:r w:rsidR="00F467D4">
          <w:rPr>
            <w:noProof/>
            <w:webHidden/>
          </w:rPr>
          <w:instrText xml:space="preserve"> PAGEREF _Toc451542993 \h </w:instrText>
        </w:r>
        <w:r w:rsidR="00F467D4">
          <w:rPr>
            <w:noProof/>
            <w:webHidden/>
          </w:rPr>
        </w:r>
        <w:r w:rsidR="00F467D4">
          <w:rPr>
            <w:noProof/>
            <w:webHidden/>
          </w:rPr>
          <w:fldChar w:fldCharType="separate"/>
        </w:r>
        <w:r w:rsidR="00F467D4">
          <w:rPr>
            <w:noProof/>
            <w:webHidden/>
          </w:rPr>
          <w:t>5</w:t>
        </w:r>
        <w:r w:rsidR="00F467D4">
          <w:rPr>
            <w:noProof/>
            <w:webHidden/>
          </w:rPr>
          <w:fldChar w:fldCharType="end"/>
        </w:r>
      </w:hyperlink>
    </w:p>
    <w:p w:rsidR="00F467D4" w:rsidRDefault="00075490">
      <w:pPr>
        <w:pStyle w:val="TOC1"/>
        <w:rPr>
          <w:rFonts w:asciiTheme="minorHAnsi" w:eastAsiaTheme="minorEastAsia" w:hAnsiTheme="minorHAnsi" w:cstheme="minorBidi"/>
          <w:noProof/>
          <w:lang w:eastAsia="zh-CN"/>
        </w:rPr>
      </w:pPr>
      <w:hyperlink w:anchor="_Toc451542994" w:history="1">
        <w:r w:rsidR="00F467D4" w:rsidRPr="00D71BD6">
          <w:rPr>
            <w:rStyle w:val="Hyperlink"/>
            <w:noProof/>
          </w:rPr>
          <w:t>VI.</w:t>
        </w:r>
        <w:r w:rsidR="00F467D4">
          <w:rPr>
            <w:rFonts w:asciiTheme="minorHAnsi" w:eastAsiaTheme="minorEastAsia" w:hAnsiTheme="minorHAnsi" w:cstheme="minorBidi"/>
            <w:noProof/>
            <w:lang w:eastAsia="zh-CN"/>
          </w:rPr>
          <w:tab/>
        </w:r>
        <w:r w:rsidR="00F467D4" w:rsidRPr="00D71BD6">
          <w:rPr>
            <w:rStyle w:val="Hyperlink"/>
            <w:noProof/>
          </w:rPr>
          <w:t>Permanent Housing Bonus</w:t>
        </w:r>
        <w:r w:rsidR="00F467D4">
          <w:rPr>
            <w:noProof/>
            <w:webHidden/>
          </w:rPr>
          <w:tab/>
        </w:r>
        <w:r w:rsidR="00F467D4">
          <w:rPr>
            <w:noProof/>
            <w:webHidden/>
          </w:rPr>
          <w:fldChar w:fldCharType="begin"/>
        </w:r>
        <w:r w:rsidR="00F467D4">
          <w:rPr>
            <w:noProof/>
            <w:webHidden/>
          </w:rPr>
          <w:instrText xml:space="preserve"> PAGEREF _Toc451542994 \h </w:instrText>
        </w:r>
        <w:r w:rsidR="00F467D4">
          <w:rPr>
            <w:noProof/>
            <w:webHidden/>
          </w:rPr>
        </w:r>
        <w:r w:rsidR="00F467D4">
          <w:rPr>
            <w:noProof/>
            <w:webHidden/>
          </w:rPr>
          <w:fldChar w:fldCharType="separate"/>
        </w:r>
        <w:r w:rsidR="00F467D4">
          <w:rPr>
            <w:noProof/>
            <w:webHidden/>
          </w:rPr>
          <w:t>6</w:t>
        </w:r>
        <w:r w:rsidR="00F467D4">
          <w:rPr>
            <w:noProof/>
            <w:webHidden/>
          </w:rPr>
          <w:fldChar w:fldCharType="end"/>
        </w:r>
      </w:hyperlink>
    </w:p>
    <w:p w:rsidR="00F467D4" w:rsidRDefault="00075490">
      <w:pPr>
        <w:pStyle w:val="TOC1"/>
        <w:rPr>
          <w:rFonts w:asciiTheme="minorHAnsi" w:eastAsiaTheme="minorEastAsia" w:hAnsiTheme="minorHAnsi" w:cstheme="minorBidi"/>
          <w:noProof/>
          <w:lang w:eastAsia="zh-CN"/>
        </w:rPr>
      </w:pPr>
      <w:hyperlink w:anchor="_Toc451542995" w:history="1">
        <w:r w:rsidR="00F467D4" w:rsidRPr="00D71BD6">
          <w:rPr>
            <w:rStyle w:val="Hyperlink"/>
            <w:noProof/>
          </w:rPr>
          <w:t>VII.</w:t>
        </w:r>
        <w:r w:rsidR="00F467D4">
          <w:rPr>
            <w:rFonts w:asciiTheme="minorHAnsi" w:eastAsiaTheme="minorEastAsia" w:hAnsiTheme="minorHAnsi" w:cstheme="minorBidi"/>
            <w:noProof/>
            <w:lang w:eastAsia="zh-CN"/>
          </w:rPr>
          <w:tab/>
        </w:r>
        <w:r w:rsidR="00F467D4" w:rsidRPr="00D71BD6">
          <w:rPr>
            <w:rStyle w:val="Hyperlink"/>
            <w:noProof/>
          </w:rPr>
          <w:t>Budgets and Unit Configuration</w:t>
        </w:r>
        <w:r w:rsidR="00F467D4">
          <w:rPr>
            <w:noProof/>
            <w:webHidden/>
          </w:rPr>
          <w:tab/>
        </w:r>
        <w:r w:rsidR="00F467D4">
          <w:rPr>
            <w:noProof/>
            <w:webHidden/>
          </w:rPr>
          <w:fldChar w:fldCharType="begin"/>
        </w:r>
        <w:r w:rsidR="00F467D4">
          <w:rPr>
            <w:noProof/>
            <w:webHidden/>
          </w:rPr>
          <w:instrText xml:space="preserve"> PAGEREF _Toc451542995 \h </w:instrText>
        </w:r>
        <w:r w:rsidR="00F467D4">
          <w:rPr>
            <w:noProof/>
            <w:webHidden/>
          </w:rPr>
        </w:r>
        <w:r w:rsidR="00F467D4">
          <w:rPr>
            <w:noProof/>
            <w:webHidden/>
          </w:rPr>
          <w:fldChar w:fldCharType="separate"/>
        </w:r>
        <w:r w:rsidR="00F467D4">
          <w:rPr>
            <w:noProof/>
            <w:webHidden/>
          </w:rPr>
          <w:t>6</w:t>
        </w:r>
        <w:r w:rsidR="00F467D4">
          <w:rPr>
            <w:noProof/>
            <w:webHidden/>
          </w:rPr>
          <w:fldChar w:fldCharType="end"/>
        </w:r>
      </w:hyperlink>
    </w:p>
    <w:p w:rsidR="00F467D4" w:rsidRDefault="00075490">
      <w:pPr>
        <w:pStyle w:val="TOC1"/>
        <w:rPr>
          <w:rFonts w:asciiTheme="minorHAnsi" w:eastAsiaTheme="minorEastAsia" w:hAnsiTheme="minorHAnsi" w:cstheme="minorBidi"/>
          <w:noProof/>
          <w:lang w:eastAsia="zh-CN"/>
        </w:rPr>
      </w:pPr>
      <w:hyperlink w:anchor="_Toc451542996" w:history="1">
        <w:r w:rsidR="00F467D4" w:rsidRPr="00D71BD6">
          <w:rPr>
            <w:rStyle w:val="Hyperlink"/>
            <w:noProof/>
          </w:rPr>
          <w:t>VIII.</w:t>
        </w:r>
        <w:r w:rsidR="00F467D4">
          <w:rPr>
            <w:rFonts w:asciiTheme="minorHAnsi" w:eastAsiaTheme="minorEastAsia" w:hAnsiTheme="minorHAnsi" w:cstheme="minorBidi"/>
            <w:noProof/>
            <w:lang w:eastAsia="zh-CN"/>
          </w:rPr>
          <w:tab/>
        </w:r>
        <w:r w:rsidR="00F467D4" w:rsidRPr="00D71BD6">
          <w:rPr>
            <w:rStyle w:val="Hyperlink"/>
            <w:noProof/>
          </w:rPr>
          <w:t>Reallocation</w:t>
        </w:r>
        <w:r w:rsidR="00F467D4">
          <w:rPr>
            <w:noProof/>
            <w:webHidden/>
          </w:rPr>
          <w:tab/>
        </w:r>
        <w:r w:rsidR="00F467D4">
          <w:rPr>
            <w:noProof/>
            <w:webHidden/>
          </w:rPr>
          <w:fldChar w:fldCharType="begin"/>
        </w:r>
        <w:r w:rsidR="00F467D4">
          <w:rPr>
            <w:noProof/>
            <w:webHidden/>
          </w:rPr>
          <w:instrText xml:space="preserve"> PAGEREF _Toc451542996 \h </w:instrText>
        </w:r>
        <w:r w:rsidR="00F467D4">
          <w:rPr>
            <w:noProof/>
            <w:webHidden/>
          </w:rPr>
        </w:r>
        <w:r w:rsidR="00F467D4">
          <w:rPr>
            <w:noProof/>
            <w:webHidden/>
          </w:rPr>
          <w:fldChar w:fldCharType="separate"/>
        </w:r>
        <w:r w:rsidR="00F467D4">
          <w:rPr>
            <w:noProof/>
            <w:webHidden/>
          </w:rPr>
          <w:t>6</w:t>
        </w:r>
        <w:r w:rsidR="00F467D4">
          <w:rPr>
            <w:noProof/>
            <w:webHidden/>
          </w:rPr>
          <w:fldChar w:fldCharType="end"/>
        </w:r>
      </w:hyperlink>
    </w:p>
    <w:p w:rsidR="00F467D4" w:rsidRDefault="00075490">
      <w:pPr>
        <w:pStyle w:val="TOC1"/>
        <w:rPr>
          <w:rFonts w:asciiTheme="minorHAnsi" w:eastAsiaTheme="minorEastAsia" w:hAnsiTheme="minorHAnsi" w:cstheme="minorBidi"/>
          <w:noProof/>
          <w:lang w:eastAsia="zh-CN"/>
        </w:rPr>
      </w:pPr>
      <w:hyperlink w:anchor="_Toc451542997" w:history="1">
        <w:r w:rsidR="00F467D4" w:rsidRPr="00D71BD6">
          <w:rPr>
            <w:rStyle w:val="Hyperlink"/>
            <w:noProof/>
          </w:rPr>
          <w:t>IX.</w:t>
        </w:r>
        <w:r w:rsidR="00F467D4">
          <w:rPr>
            <w:rFonts w:asciiTheme="minorHAnsi" w:eastAsiaTheme="minorEastAsia" w:hAnsiTheme="minorHAnsi" w:cstheme="minorBidi"/>
            <w:noProof/>
            <w:lang w:eastAsia="zh-CN"/>
          </w:rPr>
          <w:tab/>
        </w:r>
        <w:r w:rsidR="00F467D4" w:rsidRPr="00D71BD6">
          <w:rPr>
            <w:rStyle w:val="Hyperlink"/>
            <w:noProof/>
          </w:rPr>
          <w:t>FY 2015 Point Structure</w:t>
        </w:r>
        <w:r w:rsidR="00F467D4">
          <w:rPr>
            <w:noProof/>
            <w:webHidden/>
          </w:rPr>
          <w:tab/>
        </w:r>
        <w:r w:rsidR="00F467D4">
          <w:rPr>
            <w:noProof/>
            <w:webHidden/>
          </w:rPr>
          <w:fldChar w:fldCharType="begin"/>
        </w:r>
        <w:r w:rsidR="00F467D4">
          <w:rPr>
            <w:noProof/>
            <w:webHidden/>
          </w:rPr>
          <w:instrText xml:space="preserve"> PAGEREF _Toc451542997 \h </w:instrText>
        </w:r>
        <w:r w:rsidR="00F467D4">
          <w:rPr>
            <w:noProof/>
            <w:webHidden/>
          </w:rPr>
        </w:r>
        <w:r w:rsidR="00F467D4">
          <w:rPr>
            <w:noProof/>
            <w:webHidden/>
          </w:rPr>
          <w:fldChar w:fldCharType="separate"/>
        </w:r>
        <w:r w:rsidR="00F467D4">
          <w:rPr>
            <w:noProof/>
            <w:webHidden/>
          </w:rPr>
          <w:t>7</w:t>
        </w:r>
        <w:r w:rsidR="00F467D4">
          <w:rPr>
            <w:noProof/>
            <w:webHidden/>
          </w:rPr>
          <w:fldChar w:fldCharType="end"/>
        </w:r>
      </w:hyperlink>
    </w:p>
    <w:p w:rsidR="00F467D4" w:rsidRDefault="00075490">
      <w:pPr>
        <w:pStyle w:val="TOC1"/>
        <w:rPr>
          <w:rFonts w:asciiTheme="minorHAnsi" w:eastAsiaTheme="minorEastAsia" w:hAnsiTheme="minorHAnsi" w:cstheme="minorBidi"/>
          <w:noProof/>
          <w:lang w:eastAsia="zh-CN"/>
        </w:rPr>
      </w:pPr>
      <w:hyperlink w:anchor="_Toc451542998" w:history="1">
        <w:r w:rsidR="00F467D4" w:rsidRPr="00D71BD6">
          <w:rPr>
            <w:rStyle w:val="Hyperlink"/>
            <w:noProof/>
          </w:rPr>
          <w:t>X.</w:t>
        </w:r>
        <w:r w:rsidR="00F467D4">
          <w:rPr>
            <w:rFonts w:asciiTheme="minorHAnsi" w:eastAsiaTheme="minorEastAsia" w:hAnsiTheme="minorHAnsi" w:cstheme="minorBidi"/>
            <w:noProof/>
            <w:lang w:eastAsia="zh-CN"/>
          </w:rPr>
          <w:tab/>
        </w:r>
        <w:r w:rsidR="00F467D4" w:rsidRPr="00D71BD6">
          <w:rPr>
            <w:rStyle w:val="Hyperlink"/>
            <w:noProof/>
          </w:rPr>
          <w:t>Other Important Points to Consider</w:t>
        </w:r>
        <w:r w:rsidR="00F467D4">
          <w:rPr>
            <w:noProof/>
            <w:webHidden/>
          </w:rPr>
          <w:tab/>
        </w:r>
        <w:r w:rsidR="00F467D4">
          <w:rPr>
            <w:noProof/>
            <w:webHidden/>
          </w:rPr>
          <w:fldChar w:fldCharType="begin"/>
        </w:r>
        <w:r w:rsidR="00F467D4">
          <w:rPr>
            <w:noProof/>
            <w:webHidden/>
          </w:rPr>
          <w:instrText xml:space="preserve"> PAGEREF _Toc451542998 \h </w:instrText>
        </w:r>
        <w:r w:rsidR="00F467D4">
          <w:rPr>
            <w:noProof/>
            <w:webHidden/>
          </w:rPr>
        </w:r>
        <w:r w:rsidR="00F467D4">
          <w:rPr>
            <w:noProof/>
            <w:webHidden/>
          </w:rPr>
          <w:fldChar w:fldCharType="separate"/>
        </w:r>
        <w:r w:rsidR="00F467D4">
          <w:rPr>
            <w:noProof/>
            <w:webHidden/>
          </w:rPr>
          <w:t>12</w:t>
        </w:r>
        <w:r w:rsidR="00F467D4">
          <w:rPr>
            <w:noProof/>
            <w:webHidden/>
          </w:rPr>
          <w:fldChar w:fldCharType="end"/>
        </w:r>
      </w:hyperlink>
    </w:p>
    <w:p w:rsidR="00625A28" w:rsidRDefault="00D15FCD">
      <w:pPr>
        <w:rPr>
          <w:b/>
          <w:bCs/>
          <w:kern w:val="32"/>
          <w:sz w:val="26"/>
          <w:szCs w:val="32"/>
        </w:rPr>
      </w:pPr>
      <w:r w:rsidRPr="00B42542">
        <w:fldChar w:fldCharType="end"/>
      </w:r>
      <w:r w:rsidR="00625A28">
        <w:br w:type="page"/>
      </w:r>
    </w:p>
    <w:p w:rsidR="00855800" w:rsidRPr="009F5998" w:rsidRDefault="00855800" w:rsidP="009E4637">
      <w:pPr>
        <w:pStyle w:val="Heading1"/>
        <w:spacing w:after="180"/>
      </w:pPr>
      <w:bookmarkStart w:id="1" w:name="_Toc451542989"/>
      <w:r w:rsidRPr="009F5998">
        <w:lastRenderedPageBreak/>
        <w:t>FY 2015 CoC Program Competition Overview</w:t>
      </w:r>
      <w:bookmarkEnd w:id="1"/>
    </w:p>
    <w:p w:rsidR="007C2826" w:rsidRPr="00B42542" w:rsidRDefault="00625A28" w:rsidP="009E4637">
      <w:pPr>
        <w:spacing w:after="180"/>
      </w:pPr>
      <w:r>
        <w:t xml:space="preserve">The FY 2015 CoC NOFA included six overarching </w:t>
      </w:r>
      <w:r w:rsidR="007C2826" w:rsidRPr="00B42542">
        <w:t>policy priorities</w:t>
      </w:r>
      <w:r w:rsidR="00855800" w:rsidRPr="00B42542">
        <w:t xml:space="preserve"> i</w:t>
      </w:r>
      <w:r w:rsidR="007C2826" w:rsidRPr="00B42542">
        <w:t xml:space="preserve">n </w:t>
      </w:r>
      <w:r w:rsidR="007C2826" w:rsidRPr="00B42542">
        <w:rPr>
          <w:bCs/>
        </w:rPr>
        <w:t>line</w:t>
      </w:r>
      <w:r w:rsidR="007C2826" w:rsidRPr="00B42542">
        <w:t xml:space="preserve"> with HUD Strategic Plan goals and </w:t>
      </w:r>
      <w:r w:rsidR="007C2826" w:rsidRPr="00B42542">
        <w:rPr>
          <w:i/>
          <w:iCs/>
        </w:rPr>
        <w:t>Opening Doors</w:t>
      </w:r>
      <w:r>
        <w:rPr>
          <w:i/>
          <w:iCs/>
        </w:rPr>
        <w:t>:</w:t>
      </w:r>
    </w:p>
    <w:p w:rsidR="007C2826" w:rsidRPr="00B42542" w:rsidRDefault="007C2826" w:rsidP="00D17C08">
      <w:pPr>
        <w:pStyle w:val="Heading2"/>
        <w:numPr>
          <w:ilvl w:val="0"/>
          <w:numId w:val="5"/>
        </w:numPr>
      </w:pPr>
      <w:r w:rsidRPr="00B42542">
        <w:t>Strategic Resource Allocation</w:t>
      </w:r>
      <w:r w:rsidR="000066B5">
        <w:t>:</w:t>
      </w:r>
    </w:p>
    <w:p w:rsidR="007C2826" w:rsidRPr="00B42542" w:rsidRDefault="007C2826" w:rsidP="00D17C08">
      <w:pPr>
        <w:numPr>
          <w:ilvl w:val="0"/>
          <w:numId w:val="6"/>
        </w:numPr>
        <w:spacing w:after="180"/>
      </w:pPr>
      <w:r w:rsidRPr="00B42542">
        <w:t>Comprehensive Review of Projects</w:t>
      </w:r>
    </w:p>
    <w:p w:rsidR="007C2826" w:rsidRPr="00B42542" w:rsidRDefault="007C2826" w:rsidP="00D17C08">
      <w:pPr>
        <w:numPr>
          <w:ilvl w:val="0"/>
          <w:numId w:val="6"/>
        </w:numPr>
        <w:spacing w:after="180"/>
      </w:pPr>
      <w:r w:rsidRPr="00B42542">
        <w:t>Maximizing the Use of Mainstream Resources</w:t>
      </w:r>
    </w:p>
    <w:p w:rsidR="007C2826" w:rsidRPr="00B42542" w:rsidRDefault="007C2826" w:rsidP="00D17C08">
      <w:pPr>
        <w:numPr>
          <w:ilvl w:val="0"/>
          <w:numId w:val="6"/>
        </w:numPr>
        <w:spacing w:after="180"/>
      </w:pPr>
      <w:r w:rsidRPr="00B42542">
        <w:t>Leveraging Resources through Partnerships</w:t>
      </w:r>
    </w:p>
    <w:p w:rsidR="007C2826" w:rsidRPr="00B42542" w:rsidRDefault="007C2826" w:rsidP="00D17C08">
      <w:pPr>
        <w:numPr>
          <w:ilvl w:val="0"/>
          <w:numId w:val="6"/>
        </w:numPr>
        <w:spacing w:after="180"/>
      </w:pPr>
      <w:r w:rsidRPr="00B42542">
        <w:t>Reviewing the Efficacy of Transitional Housing</w:t>
      </w:r>
    </w:p>
    <w:p w:rsidR="007C2826" w:rsidRPr="00B42542" w:rsidRDefault="007C2826" w:rsidP="00D17C08">
      <w:pPr>
        <w:pStyle w:val="Heading2"/>
        <w:numPr>
          <w:ilvl w:val="0"/>
          <w:numId w:val="5"/>
        </w:numPr>
      </w:pPr>
      <w:r w:rsidRPr="00B42542">
        <w:t>Ending Chronic Homelessness</w:t>
      </w:r>
      <w:r w:rsidR="000066B5">
        <w:t>:</w:t>
      </w:r>
    </w:p>
    <w:p w:rsidR="007C2826" w:rsidRPr="00B42542" w:rsidRDefault="007C2826" w:rsidP="00D17C08">
      <w:pPr>
        <w:numPr>
          <w:ilvl w:val="0"/>
          <w:numId w:val="6"/>
        </w:numPr>
        <w:spacing w:after="180"/>
      </w:pPr>
      <w:r w:rsidRPr="00B42542">
        <w:t>Increasing Units</w:t>
      </w:r>
    </w:p>
    <w:p w:rsidR="007C2826" w:rsidRPr="00B42542" w:rsidRDefault="007C2826" w:rsidP="00D17C08">
      <w:pPr>
        <w:numPr>
          <w:ilvl w:val="0"/>
          <w:numId w:val="6"/>
        </w:numPr>
        <w:spacing w:after="180"/>
      </w:pPr>
      <w:r w:rsidRPr="00B42542">
        <w:t>Targeting</w:t>
      </w:r>
      <w:r w:rsidR="00625A28">
        <w:t xml:space="preserve"> </w:t>
      </w:r>
    </w:p>
    <w:p w:rsidR="007C2826" w:rsidRPr="00B42542" w:rsidRDefault="007C2826" w:rsidP="00D17C08">
      <w:pPr>
        <w:pStyle w:val="Heading2"/>
        <w:numPr>
          <w:ilvl w:val="0"/>
          <w:numId w:val="5"/>
        </w:numPr>
      </w:pPr>
      <w:r w:rsidRPr="00B42542">
        <w:t>Ending Family Homelessness</w:t>
      </w:r>
    </w:p>
    <w:p w:rsidR="007C2826" w:rsidRPr="00B42542" w:rsidRDefault="007C2826" w:rsidP="00D17C08">
      <w:pPr>
        <w:pStyle w:val="Heading2"/>
        <w:numPr>
          <w:ilvl w:val="0"/>
          <w:numId w:val="5"/>
        </w:numPr>
      </w:pPr>
      <w:r w:rsidRPr="00B42542">
        <w:t>Ending Youth Homelessness</w:t>
      </w:r>
    </w:p>
    <w:p w:rsidR="007C2826" w:rsidRPr="00B42542" w:rsidRDefault="007C2826" w:rsidP="00D17C08">
      <w:pPr>
        <w:pStyle w:val="Heading2"/>
        <w:numPr>
          <w:ilvl w:val="0"/>
          <w:numId w:val="5"/>
        </w:numPr>
      </w:pPr>
      <w:r w:rsidRPr="00B42542">
        <w:t>Ending Veterans Homelessness</w:t>
      </w:r>
      <w:r w:rsidR="000066B5">
        <w:t>:</w:t>
      </w:r>
    </w:p>
    <w:p w:rsidR="007C2826" w:rsidRPr="00B42542" w:rsidRDefault="007C2826" w:rsidP="00D17C08">
      <w:pPr>
        <w:numPr>
          <w:ilvl w:val="0"/>
          <w:numId w:val="6"/>
        </w:numPr>
        <w:spacing w:after="180"/>
      </w:pPr>
      <w:r w:rsidRPr="00B42542">
        <w:t>Prioritizing veterans and their families</w:t>
      </w:r>
    </w:p>
    <w:p w:rsidR="007C2826" w:rsidRPr="00B42542" w:rsidRDefault="007C2826" w:rsidP="00D17C08">
      <w:pPr>
        <w:numPr>
          <w:ilvl w:val="0"/>
          <w:numId w:val="6"/>
        </w:numPr>
        <w:spacing w:after="180"/>
      </w:pPr>
      <w:r w:rsidRPr="00B42542">
        <w:t>Close collaboration with local and veteran-serving organizations</w:t>
      </w:r>
    </w:p>
    <w:p w:rsidR="007C2826" w:rsidRPr="00B42542" w:rsidRDefault="007C2826" w:rsidP="00D17C08">
      <w:pPr>
        <w:pStyle w:val="Heading2"/>
        <w:numPr>
          <w:ilvl w:val="0"/>
          <w:numId w:val="5"/>
        </w:numPr>
      </w:pPr>
      <w:r w:rsidRPr="00B42542">
        <w:t>Using a Housing First Approach</w:t>
      </w:r>
      <w:r w:rsidR="000066B5">
        <w:t>:</w:t>
      </w:r>
    </w:p>
    <w:p w:rsidR="007C2826" w:rsidRPr="00B42542" w:rsidRDefault="00625A28" w:rsidP="00D17C08">
      <w:pPr>
        <w:numPr>
          <w:ilvl w:val="0"/>
          <w:numId w:val="6"/>
        </w:numPr>
        <w:spacing w:after="180"/>
      </w:pPr>
      <w:r>
        <w:t>Removing b</w:t>
      </w:r>
      <w:r w:rsidR="007C2826" w:rsidRPr="00B42542">
        <w:t>arriers to entry</w:t>
      </w:r>
    </w:p>
    <w:p w:rsidR="007C2826" w:rsidRPr="00B42542" w:rsidRDefault="007C2826" w:rsidP="00D17C08">
      <w:pPr>
        <w:numPr>
          <w:ilvl w:val="0"/>
          <w:numId w:val="6"/>
        </w:numPr>
        <w:spacing w:after="180"/>
      </w:pPr>
      <w:r w:rsidRPr="00B42542">
        <w:t>Centralized or Coordinated Assessment System</w:t>
      </w:r>
    </w:p>
    <w:p w:rsidR="007C2826" w:rsidRPr="00B42542" w:rsidRDefault="007C2826" w:rsidP="00D17C08">
      <w:pPr>
        <w:numPr>
          <w:ilvl w:val="0"/>
          <w:numId w:val="6"/>
        </w:numPr>
        <w:spacing w:after="180"/>
      </w:pPr>
      <w:r w:rsidRPr="00B42542">
        <w:t>Client-centered Service Delivery</w:t>
      </w:r>
    </w:p>
    <w:p w:rsidR="007C2826" w:rsidRPr="00B42542" w:rsidRDefault="00625A28" w:rsidP="00D17C08">
      <w:pPr>
        <w:numPr>
          <w:ilvl w:val="0"/>
          <w:numId w:val="6"/>
        </w:numPr>
        <w:spacing w:after="180"/>
      </w:pPr>
      <w:r>
        <w:t>Prioritizing households most in n</w:t>
      </w:r>
      <w:r w:rsidR="007C2826" w:rsidRPr="00B42542">
        <w:t>eed</w:t>
      </w:r>
    </w:p>
    <w:p w:rsidR="007C2826" w:rsidRPr="00B42542" w:rsidRDefault="00625A28" w:rsidP="00D17C08">
      <w:pPr>
        <w:numPr>
          <w:ilvl w:val="0"/>
          <w:numId w:val="6"/>
        </w:numPr>
        <w:spacing w:after="180"/>
      </w:pPr>
      <w:r>
        <w:t>Inclusive d</w:t>
      </w:r>
      <w:r w:rsidR="007C2826" w:rsidRPr="00B42542">
        <w:t>ecisionmaking</w:t>
      </w:r>
    </w:p>
    <w:p w:rsidR="00677744" w:rsidRPr="00B42542" w:rsidRDefault="003260C2" w:rsidP="009E4637">
      <w:pPr>
        <w:spacing w:after="180"/>
      </w:pPr>
      <w:r w:rsidRPr="00B42542">
        <w:rPr>
          <w:noProof/>
        </w:rPr>
        <mc:AlternateContent>
          <mc:Choice Requires="wps">
            <w:drawing>
              <wp:anchor distT="0" distB="0" distL="114300" distR="114300" simplePos="0" relativeHeight="251673600" behindDoc="0" locked="0" layoutInCell="1" allowOverlap="1" wp14:anchorId="3A84C2DC" wp14:editId="12344060">
                <wp:simplePos x="0" y="0"/>
                <wp:positionH relativeFrom="column">
                  <wp:posOffset>-59055</wp:posOffset>
                </wp:positionH>
                <wp:positionV relativeFrom="paragraph">
                  <wp:posOffset>86360</wp:posOffset>
                </wp:positionV>
                <wp:extent cx="6117590" cy="635"/>
                <wp:effectExtent l="7620" t="10160" r="8890" b="825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759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4DC249" id="_x0000_t32" coordsize="21600,21600" o:spt="32" o:oned="t" path="m,l21600,21600e" filled="f">
                <v:path arrowok="t" fillok="f" o:connecttype="none"/>
                <o:lock v:ext="edit" shapetype="t"/>
              </v:shapetype>
              <v:shape id="AutoShape 5" o:spid="_x0000_s1026" type="#_x0000_t32" style="position:absolute;margin-left:-4.65pt;margin-top:6.8pt;width:481.7pt;height:.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rKHIQIAAD0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"/>
            </w:pict>
          </mc:Fallback>
        </mc:AlternateContent>
      </w:r>
    </w:p>
    <w:p w:rsidR="00354CA7" w:rsidRPr="00B42542" w:rsidRDefault="00354CA7" w:rsidP="009E4637">
      <w:pPr>
        <w:pStyle w:val="Heading1"/>
        <w:spacing w:after="180"/>
      </w:pPr>
      <w:bookmarkStart w:id="2" w:name="_Toc451542990"/>
      <w:r w:rsidRPr="00B42542">
        <w:t>Competition Summary:</w:t>
      </w:r>
      <w:bookmarkEnd w:id="2"/>
    </w:p>
    <w:p w:rsidR="000E3BBD" w:rsidRPr="004E7137" w:rsidRDefault="00342D6B" w:rsidP="004E7137">
      <w:pPr>
        <w:spacing w:after="180"/>
        <w:rPr>
          <w:b/>
        </w:rPr>
      </w:pPr>
      <w:r w:rsidRPr="00B42542">
        <w:t xml:space="preserve">HUD awarded </w:t>
      </w:r>
      <w:r w:rsidR="00354CA7" w:rsidRPr="00B42542">
        <w:t>$</w:t>
      </w:r>
      <w:r w:rsidR="007C2826" w:rsidRPr="00B42542">
        <w:t>1.</w:t>
      </w:r>
      <w:r w:rsidR="008D4001" w:rsidRPr="00B42542">
        <w:t xml:space="preserve">94 </w:t>
      </w:r>
      <w:r w:rsidR="00354CA7" w:rsidRPr="00B42542">
        <w:t xml:space="preserve">billion </w:t>
      </w:r>
      <w:r w:rsidR="00BA1D52" w:rsidRPr="00B42542">
        <w:t xml:space="preserve">in the </w:t>
      </w:r>
      <w:r w:rsidR="00054288" w:rsidRPr="00B42542">
        <w:t xml:space="preserve">FY </w:t>
      </w:r>
      <w:r w:rsidR="00F31F5D" w:rsidRPr="00B42542">
        <w:t>2015</w:t>
      </w:r>
      <w:r w:rsidR="00054288" w:rsidRPr="00B42542">
        <w:t xml:space="preserve"> </w:t>
      </w:r>
      <w:r w:rsidR="00BA1D52" w:rsidRPr="00B42542">
        <w:t>CoC Program Competition.</w:t>
      </w:r>
    </w:p>
    <w:p w:rsidR="00625A28" w:rsidRPr="00625A28" w:rsidRDefault="00017788" w:rsidP="00D17C08">
      <w:pPr>
        <w:pStyle w:val="ListParagraph"/>
        <w:numPr>
          <w:ilvl w:val="0"/>
          <w:numId w:val="2"/>
        </w:numPr>
        <w:spacing w:after="180"/>
        <w:contextualSpacing w:val="0"/>
        <w:rPr>
          <w:b/>
        </w:rPr>
      </w:pPr>
      <w:r>
        <w:t xml:space="preserve">HUD designated 4 </w:t>
      </w:r>
      <w:r w:rsidR="00937B1B" w:rsidRPr="00B42542">
        <w:t xml:space="preserve">Collaborative Applicants </w:t>
      </w:r>
      <w:r>
        <w:t xml:space="preserve">that </w:t>
      </w:r>
      <w:r w:rsidR="00937B1B" w:rsidRPr="00B42542">
        <w:t xml:space="preserve">requested Unified Funding Agency (UFA) </w:t>
      </w:r>
      <w:r w:rsidR="00054288" w:rsidRPr="00B42542">
        <w:t>designation</w:t>
      </w:r>
      <w:r w:rsidR="00540592" w:rsidRPr="00B42542">
        <w:t xml:space="preserve">. </w:t>
      </w:r>
      <w:r w:rsidR="00533B53" w:rsidRPr="00B42542">
        <w:t xml:space="preserve"> </w:t>
      </w:r>
    </w:p>
    <w:p w:rsidR="00144DAE" w:rsidRDefault="00144DAE" w:rsidP="00D17C08">
      <w:pPr>
        <w:pStyle w:val="ListParagraph"/>
        <w:numPr>
          <w:ilvl w:val="0"/>
          <w:numId w:val="2"/>
        </w:numPr>
        <w:spacing w:after="180"/>
        <w:contextualSpacing w:val="0"/>
        <w:rPr>
          <w:rFonts w:eastAsia="Calibri"/>
        </w:rPr>
      </w:pPr>
      <w:r w:rsidRPr="00144DAE">
        <w:lastRenderedPageBreak/>
        <w:t>HUD</w:t>
      </w:r>
      <w:r w:rsidRPr="00A470C2">
        <w:rPr>
          <w:rFonts w:eastAsia="Calibri"/>
        </w:rPr>
        <w:t xml:space="preserve"> only permitted CoCs to apply for the following new projects:  </w:t>
      </w:r>
    </w:p>
    <w:p w:rsidR="00144DAE" w:rsidRPr="00144DAE" w:rsidRDefault="00625A28" w:rsidP="00D17C08">
      <w:pPr>
        <w:pStyle w:val="ListParagraph"/>
        <w:numPr>
          <w:ilvl w:val="0"/>
          <w:numId w:val="13"/>
        </w:numPr>
        <w:tabs>
          <w:tab w:val="clear" w:pos="720"/>
          <w:tab w:val="num" w:pos="1440"/>
        </w:tabs>
        <w:spacing w:after="180"/>
        <w:ind w:left="1440"/>
        <w:contextualSpacing w:val="0"/>
        <w:rPr>
          <w:rFonts w:eastAsia="Calibri"/>
        </w:rPr>
      </w:pPr>
      <w:r>
        <w:rPr>
          <w:rFonts w:eastAsia="Calibri"/>
        </w:rPr>
        <w:t>new Permanent Housing</w:t>
      </w:r>
      <w:r w:rsidR="00144DAE" w:rsidRPr="00144DAE">
        <w:rPr>
          <w:rFonts w:eastAsia="Calibri"/>
        </w:rPr>
        <w:t xml:space="preserve"> Bonus projects; </w:t>
      </w:r>
    </w:p>
    <w:p w:rsidR="00144DAE" w:rsidRPr="00144DAE" w:rsidRDefault="00144DAE" w:rsidP="00D17C08">
      <w:pPr>
        <w:pStyle w:val="ListParagraph"/>
        <w:numPr>
          <w:ilvl w:val="0"/>
          <w:numId w:val="13"/>
        </w:numPr>
        <w:tabs>
          <w:tab w:val="clear" w:pos="720"/>
          <w:tab w:val="num" w:pos="1440"/>
        </w:tabs>
        <w:spacing w:after="180"/>
        <w:ind w:left="1440"/>
        <w:contextualSpacing w:val="0"/>
        <w:rPr>
          <w:rFonts w:eastAsia="Calibri"/>
        </w:rPr>
      </w:pPr>
      <w:r w:rsidRPr="00144DAE">
        <w:rPr>
          <w:rFonts w:eastAsia="Calibri"/>
        </w:rPr>
        <w:t xml:space="preserve">new projects created through reallocation; </w:t>
      </w:r>
    </w:p>
    <w:p w:rsidR="00144DAE" w:rsidRPr="00144DAE" w:rsidRDefault="00144DAE" w:rsidP="00D17C08">
      <w:pPr>
        <w:pStyle w:val="ListParagraph"/>
        <w:numPr>
          <w:ilvl w:val="0"/>
          <w:numId w:val="13"/>
        </w:numPr>
        <w:tabs>
          <w:tab w:val="clear" w:pos="720"/>
          <w:tab w:val="num" w:pos="1440"/>
        </w:tabs>
        <w:spacing w:after="180"/>
        <w:ind w:left="1440"/>
        <w:contextualSpacing w:val="0"/>
        <w:rPr>
          <w:rFonts w:eastAsia="Calibri"/>
        </w:rPr>
      </w:pPr>
      <w:r w:rsidRPr="00144DAE">
        <w:rPr>
          <w:rFonts w:eastAsia="Calibri"/>
        </w:rPr>
        <w:t xml:space="preserve">CoC planning; and </w:t>
      </w:r>
    </w:p>
    <w:p w:rsidR="00144DAE" w:rsidRPr="00144DAE" w:rsidRDefault="00144DAE" w:rsidP="00D17C08">
      <w:pPr>
        <w:pStyle w:val="ListParagraph"/>
        <w:numPr>
          <w:ilvl w:val="0"/>
          <w:numId w:val="13"/>
        </w:numPr>
        <w:tabs>
          <w:tab w:val="clear" w:pos="720"/>
          <w:tab w:val="num" w:pos="1440"/>
        </w:tabs>
        <w:spacing w:after="180"/>
        <w:ind w:left="1440"/>
        <w:contextualSpacing w:val="0"/>
        <w:rPr>
          <w:rFonts w:eastAsia="Calibri"/>
        </w:rPr>
      </w:pPr>
      <w:r w:rsidRPr="00144DAE">
        <w:rPr>
          <w:rFonts w:eastAsia="Calibri"/>
        </w:rPr>
        <w:t>UFA costs (if applicable).</w:t>
      </w:r>
    </w:p>
    <w:p w:rsidR="00144DAE" w:rsidRPr="00144DAE" w:rsidRDefault="00D53409" w:rsidP="00D17C08">
      <w:pPr>
        <w:pStyle w:val="ListParagraph"/>
        <w:numPr>
          <w:ilvl w:val="0"/>
          <w:numId w:val="2"/>
        </w:numPr>
        <w:spacing w:after="180"/>
        <w:contextualSpacing w:val="0"/>
        <w:rPr>
          <w:rFonts w:eastAsia="Calibri"/>
        </w:rPr>
      </w:pPr>
      <w:r w:rsidRPr="00B42542">
        <w:t>HUD required</w:t>
      </w:r>
      <w:r w:rsidR="00054288" w:rsidRPr="00B42542">
        <w:t xml:space="preserve"> </w:t>
      </w:r>
      <w:r w:rsidR="00CD2360" w:rsidRPr="00B42542">
        <w:t>CoCs to rank all projects applying for grant funds</w:t>
      </w:r>
      <w:r w:rsidRPr="00B42542">
        <w:t>, except CoC planning and UFA Costs</w:t>
      </w:r>
      <w:r w:rsidR="00A470C2">
        <w:t xml:space="preserve">.  </w:t>
      </w:r>
    </w:p>
    <w:p w:rsidR="00A470C2" w:rsidRPr="00B42542" w:rsidRDefault="00A470C2" w:rsidP="00D17C08">
      <w:pPr>
        <w:pStyle w:val="ListParagraph"/>
        <w:numPr>
          <w:ilvl w:val="0"/>
          <w:numId w:val="2"/>
        </w:numPr>
        <w:spacing w:after="180"/>
        <w:contextualSpacing w:val="0"/>
        <w:rPr>
          <w:rFonts w:eastAsia="Calibri"/>
        </w:rPr>
      </w:pPr>
      <w:r>
        <w:t>HUD did not require a</w:t>
      </w:r>
      <w:r w:rsidRPr="00B42542">
        <w:t xml:space="preserve"> minimum CoC Application score </w:t>
      </w:r>
      <w:r>
        <w:t>for CoCs</w:t>
      </w:r>
      <w:r w:rsidRPr="00B42542">
        <w:t xml:space="preserve"> to receive </w:t>
      </w:r>
      <w:r>
        <w:t>funding for new</w:t>
      </w:r>
      <w:r w:rsidRPr="00B42542">
        <w:t xml:space="preserve"> projects; however, CoC Applications with higher scores had a better chance of being awarded projects ranked in Tier 2.</w:t>
      </w:r>
    </w:p>
    <w:p w:rsidR="00D53409" w:rsidRPr="00B42542" w:rsidRDefault="00144DAE" w:rsidP="00D17C08">
      <w:pPr>
        <w:pStyle w:val="ListParagraph"/>
        <w:numPr>
          <w:ilvl w:val="0"/>
          <w:numId w:val="2"/>
        </w:numPr>
        <w:spacing w:after="180"/>
        <w:contextualSpacing w:val="0"/>
        <w:rPr>
          <w:b/>
        </w:rPr>
      </w:pPr>
      <w:r>
        <w:t xml:space="preserve">HUD established </w:t>
      </w:r>
      <w:r w:rsidR="00D53409" w:rsidRPr="00B42542">
        <w:t xml:space="preserve">Tier 1 as equal to 85 percent of the CoC’s FY 2015 Annual Renewal Demand (ARD) on the final HUD-approved Grant Inventory Worksheet (GIW) and Tier 2 was the difference between Tier 1 and the CoC’s ARD plus </w:t>
      </w:r>
      <w:r w:rsidR="00A84AB6">
        <w:t>15</w:t>
      </w:r>
      <w:r w:rsidR="009F5998">
        <w:t xml:space="preserve"> percent</w:t>
      </w:r>
      <w:r w:rsidR="00A84AB6">
        <w:t xml:space="preserve"> of Final Pro Rata Need (FPRN) that </w:t>
      </w:r>
      <w:r w:rsidR="009F5998">
        <w:t>CoCs wer</w:t>
      </w:r>
      <w:r w:rsidR="00625A28">
        <w:t>e eligible to apply for through</w:t>
      </w:r>
      <w:r w:rsidR="00D53409" w:rsidRPr="00B42542">
        <w:t xml:space="preserve"> the permanent housing bonus</w:t>
      </w:r>
      <w:r w:rsidR="009F5998">
        <w:t xml:space="preserve"> projects</w:t>
      </w:r>
      <w:r w:rsidR="00D53409" w:rsidRPr="00B42542">
        <w:t>.</w:t>
      </w:r>
      <w:r w:rsidR="00A84AB6">
        <w:t xml:space="preserve"> </w:t>
      </w:r>
    </w:p>
    <w:p w:rsidR="0041344A" w:rsidRPr="00B42542" w:rsidRDefault="00144DAE" w:rsidP="00D17C08">
      <w:pPr>
        <w:pStyle w:val="ListParagraph"/>
        <w:numPr>
          <w:ilvl w:val="0"/>
          <w:numId w:val="2"/>
        </w:numPr>
        <w:spacing w:after="180"/>
        <w:contextualSpacing w:val="0"/>
        <w:rPr>
          <w:b/>
        </w:rPr>
      </w:pPr>
      <w:r>
        <w:t xml:space="preserve">HUD required </w:t>
      </w:r>
      <w:r w:rsidR="00F13BE6">
        <w:t>p</w:t>
      </w:r>
      <w:r w:rsidR="0041344A" w:rsidRPr="00B42542">
        <w:t>roject applica</w:t>
      </w:r>
      <w:r w:rsidR="00F13BE6">
        <w:t xml:space="preserve">nts to submit their application </w:t>
      </w:r>
      <w:r w:rsidR="0041344A" w:rsidRPr="00B42542">
        <w:t xml:space="preserve">to the CoC no later than 30 days before the </w:t>
      </w:r>
      <w:r w:rsidR="00017788" w:rsidRPr="00B42542">
        <w:t>November 20, 2015</w:t>
      </w:r>
      <w:r w:rsidR="00017788">
        <w:t xml:space="preserve"> application</w:t>
      </w:r>
      <w:r w:rsidR="00017788" w:rsidRPr="00B42542">
        <w:t xml:space="preserve"> deadline</w:t>
      </w:r>
      <w:r w:rsidR="0041344A" w:rsidRPr="00B42542">
        <w:t xml:space="preserve"> </w:t>
      </w:r>
      <w:r w:rsidR="00F13BE6">
        <w:t xml:space="preserve">to </w:t>
      </w:r>
      <w:r w:rsidR="0041344A" w:rsidRPr="00B42542">
        <w:t xml:space="preserve">allow CoCs sufficient time to review, rate, and rank </w:t>
      </w:r>
      <w:r w:rsidR="00F13BE6">
        <w:t xml:space="preserve">the </w:t>
      </w:r>
      <w:r w:rsidR="0041344A" w:rsidRPr="00B42542">
        <w:t>project applications.</w:t>
      </w:r>
    </w:p>
    <w:p w:rsidR="001E01BE" w:rsidRPr="00B42542" w:rsidRDefault="00017788" w:rsidP="00D17C08">
      <w:pPr>
        <w:pStyle w:val="ListParagraph"/>
        <w:numPr>
          <w:ilvl w:val="0"/>
          <w:numId w:val="2"/>
        </w:numPr>
        <w:spacing w:after="180"/>
        <w:contextualSpacing w:val="0"/>
        <w:rPr>
          <w:kern w:val="24"/>
        </w:rPr>
      </w:pPr>
      <w:r>
        <w:t xml:space="preserve">HUD required </w:t>
      </w:r>
      <w:r w:rsidR="007A41A0" w:rsidRPr="00B42542">
        <w:t xml:space="preserve">CoCs to prioritize their projects in the local CoC competition process and to notify project applicants </w:t>
      </w:r>
      <w:r>
        <w:t>that</w:t>
      </w:r>
      <w:r w:rsidRPr="00B42542">
        <w:t xml:space="preserve"> </w:t>
      </w:r>
      <w:r w:rsidR="007A41A0" w:rsidRPr="00B42542">
        <w:t xml:space="preserve">their projects were accepted or rejected 15 days prior the </w:t>
      </w:r>
      <w:r w:rsidRPr="00B42542">
        <w:t>November 20, 2015</w:t>
      </w:r>
      <w:r>
        <w:t xml:space="preserve"> application</w:t>
      </w:r>
      <w:r w:rsidR="007A41A0" w:rsidRPr="00B42542">
        <w:t xml:space="preserve"> deadline</w:t>
      </w:r>
      <w:r>
        <w:t>.</w:t>
      </w:r>
      <w:r w:rsidR="007A41A0" w:rsidRPr="00B42542">
        <w:t xml:space="preserve">.  </w:t>
      </w:r>
      <w:r w:rsidR="0041344A" w:rsidRPr="00B42542">
        <w:t xml:space="preserve">This </w:t>
      </w:r>
      <w:r>
        <w:t xml:space="preserve">was to </w:t>
      </w:r>
      <w:r w:rsidR="0041344A" w:rsidRPr="00B42542">
        <w:t>allow any project applicant that believed it was denied the opportunity to participate in the local Co</w:t>
      </w:r>
      <w:r w:rsidR="00E14C29" w:rsidRPr="00B42542">
        <w:t>C</w:t>
      </w:r>
      <w:r w:rsidR="0041344A" w:rsidRPr="00B42542">
        <w:t xml:space="preserve"> planning process in a reasonable manner to submit a Solo Application in </w:t>
      </w:r>
      <w:r w:rsidR="0041344A" w:rsidRPr="00B42542">
        <w:rPr>
          <w:i/>
        </w:rPr>
        <w:t>e-snaps</w:t>
      </w:r>
      <w:r w:rsidR="0041344A" w:rsidRPr="00B42542">
        <w:t xml:space="preserve"> directly to HUD prior to the application deadline of November 20, 2015.</w:t>
      </w:r>
    </w:p>
    <w:p w:rsidR="001E01BE" w:rsidRPr="00B42542" w:rsidRDefault="00A84AB6" w:rsidP="009E4637">
      <w:pPr>
        <w:pStyle w:val="Heading1"/>
        <w:spacing w:after="180"/>
      </w:pPr>
      <w:bookmarkStart w:id="3" w:name="_Toc451542991"/>
      <w:r>
        <w:t>Tier 1 and Tier 2</w:t>
      </w:r>
      <w:bookmarkEnd w:id="3"/>
    </w:p>
    <w:p w:rsidR="0034541E" w:rsidRPr="00B42542" w:rsidRDefault="00A470C2" w:rsidP="00D17C08">
      <w:pPr>
        <w:spacing w:after="180"/>
        <w:ind w:left="720" w:hanging="720"/>
      </w:pPr>
      <w:r w:rsidRPr="00A470C2">
        <w:rPr>
          <w:b/>
        </w:rPr>
        <w:t>Tier 1–</w:t>
      </w:r>
      <w:r w:rsidR="00F13BE6">
        <w:t xml:space="preserve">HUD established </w:t>
      </w:r>
      <w:r w:rsidR="00625A28">
        <w:t>Tier 1</w:t>
      </w:r>
      <w:r w:rsidR="00F13BE6">
        <w:t xml:space="preserve"> at</w:t>
      </w:r>
      <w:r w:rsidR="00A84AB6">
        <w:t xml:space="preserve"> 85 percent of a CoCs A</w:t>
      </w:r>
      <w:r w:rsidR="00F13BE6">
        <w:t>RD.</w:t>
      </w:r>
      <w:r w:rsidR="00A84AB6">
        <w:t xml:space="preserve"> </w:t>
      </w:r>
      <w:r w:rsidR="00F13BE6">
        <w:t xml:space="preserve"> CoC</w:t>
      </w:r>
      <w:r w:rsidR="00625A28">
        <w:t>s</w:t>
      </w:r>
      <w:r w:rsidR="00F13BE6">
        <w:t xml:space="preserve"> could place a</w:t>
      </w:r>
      <w:r w:rsidR="0034541E" w:rsidRPr="00B42542">
        <w:t xml:space="preserve">ny type of project in Tier 1 and </w:t>
      </w:r>
      <w:r w:rsidR="00F13BE6">
        <w:t xml:space="preserve">HUD would </w:t>
      </w:r>
      <w:r w:rsidR="0034541E" w:rsidRPr="00B42542">
        <w:t>conditionally select</w:t>
      </w:r>
      <w:r w:rsidR="00E14C29" w:rsidRPr="00B42542">
        <w:t xml:space="preserve"> </w:t>
      </w:r>
      <w:r w:rsidR="00F13BE6">
        <w:t xml:space="preserve">those projects for funding so long as </w:t>
      </w:r>
      <w:r w:rsidR="0034541E" w:rsidRPr="00B42542">
        <w:t xml:space="preserve">the project applications passed </w:t>
      </w:r>
      <w:r w:rsidR="0034541E" w:rsidRPr="00A470C2">
        <w:rPr>
          <w:b/>
        </w:rPr>
        <w:t>both</w:t>
      </w:r>
      <w:r w:rsidR="0034541E" w:rsidRPr="00B42542">
        <w:t xml:space="preserve"> eligibility and threshold review.  </w:t>
      </w:r>
      <w:r>
        <w:t xml:space="preserve">HUD announced </w:t>
      </w:r>
      <w:r w:rsidRPr="00B42542">
        <w:t xml:space="preserve">Tier 1 awards </w:t>
      </w:r>
      <w:r>
        <w:t>on</w:t>
      </w:r>
      <w:r w:rsidRPr="00B42542">
        <w:t xml:space="preserve"> March 8</w:t>
      </w:r>
      <w:r>
        <w:t xml:space="preserve">, 2016.  </w:t>
      </w:r>
    </w:p>
    <w:p w:rsidR="00A84AB6" w:rsidRDefault="00A470C2" w:rsidP="00D17C08">
      <w:pPr>
        <w:spacing w:after="180"/>
        <w:ind w:left="720" w:hanging="720"/>
        <w:rPr>
          <w:kern w:val="24"/>
        </w:rPr>
      </w:pPr>
      <w:r w:rsidRPr="00A470C2">
        <w:rPr>
          <w:b/>
          <w:kern w:val="24"/>
        </w:rPr>
        <w:t>Tier 2–</w:t>
      </w:r>
      <w:r w:rsidR="00632FB3" w:rsidRPr="00A470C2">
        <w:t>HUD</w:t>
      </w:r>
      <w:r w:rsidR="00632FB3">
        <w:rPr>
          <w:kern w:val="24"/>
        </w:rPr>
        <w:t xml:space="preserve"> established </w:t>
      </w:r>
      <w:r w:rsidR="00810A8B" w:rsidRPr="00B42542">
        <w:rPr>
          <w:kern w:val="24"/>
        </w:rPr>
        <w:t xml:space="preserve">Tier 2 as the difference between Tier 1 and the CoC’s </w:t>
      </w:r>
      <w:r w:rsidR="00A84AB6">
        <w:rPr>
          <w:kern w:val="24"/>
        </w:rPr>
        <w:t>A</w:t>
      </w:r>
      <w:r w:rsidR="00F13BE6">
        <w:rPr>
          <w:kern w:val="24"/>
        </w:rPr>
        <w:t xml:space="preserve">RD </w:t>
      </w:r>
      <w:r w:rsidR="00A84AB6" w:rsidRPr="00B42542">
        <w:rPr>
          <w:kern w:val="24"/>
        </w:rPr>
        <w:t xml:space="preserve"> </w:t>
      </w:r>
      <w:r w:rsidR="00810A8B" w:rsidRPr="00B42542">
        <w:rPr>
          <w:kern w:val="24"/>
        </w:rPr>
        <w:t xml:space="preserve">plus </w:t>
      </w:r>
      <w:r w:rsidR="00A84AB6">
        <w:rPr>
          <w:kern w:val="24"/>
        </w:rPr>
        <w:t xml:space="preserve">15 percent of FPRN that was available for </w:t>
      </w:r>
      <w:r w:rsidR="00810A8B" w:rsidRPr="00B42542">
        <w:rPr>
          <w:kern w:val="24"/>
        </w:rPr>
        <w:t xml:space="preserve">the permanent housing bonus. </w:t>
      </w:r>
      <w:r w:rsidR="006C16B2">
        <w:rPr>
          <w:kern w:val="24"/>
        </w:rPr>
        <w:t xml:space="preserve"> </w:t>
      </w:r>
      <w:r>
        <w:t xml:space="preserve">HUD announced </w:t>
      </w:r>
      <w:r w:rsidRPr="00B42542">
        <w:t xml:space="preserve">Tier </w:t>
      </w:r>
      <w:r>
        <w:t>2</w:t>
      </w:r>
      <w:r w:rsidRPr="00B42542">
        <w:t xml:space="preserve"> awards </w:t>
      </w:r>
      <w:r>
        <w:t>on</w:t>
      </w:r>
      <w:r w:rsidRPr="00B42542">
        <w:t xml:space="preserve"> Ma</w:t>
      </w:r>
      <w:r>
        <w:t xml:space="preserve">y 2, 2016.  </w:t>
      </w:r>
      <w:r w:rsidR="00F13BE6">
        <w:rPr>
          <w:kern w:val="24"/>
        </w:rPr>
        <w:t xml:space="preserve">All </w:t>
      </w:r>
      <w:r w:rsidR="00632FB3">
        <w:rPr>
          <w:kern w:val="24"/>
        </w:rPr>
        <w:t>p</w:t>
      </w:r>
      <w:r w:rsidR="00A84AB6">
        <w:rPr>
          <w:kern w:val="24"/>
        </w:rPr>
        <w:t xml:space="preserve">rojects in Tier 2 competed with </w:t>
      </w:r>
      <w:r w:rsidR="00632FB3">
        <w:rPr>
          <w:kern w:val="24"/>
        </w:rPr>
        <w:t xml:space="preserve">all </w:t>
      </w:r>
      <w:r w:rsidR="00A84AB6">
        <w:rPr>
          <w:kern w:val="24"/>
        </w:rPr>
        <w:t>other Tier 2 pro</w:t>
      </w:r>
      <w:r w:rsidR="00C04F88">
        <w:rPr>
          <w:kern w:val="24"/>
        </w:rPr>
        <w:t>jects in the country on a 100-</w:t>
      </w:r>
      <w:r w:rsidR="00A84AB6">
        <w:rPr>
          <w:kern w:val="24"/>
        </w:rPr>
        <w:t>point scale:</w:t>
      </w:r>
    </w:p>
    <w:p w:rsidR="00A84AB6" w:rsidRPr="00632FB3" w:rsidRDefault="00A84AB6" w:rsidP="00D17C08">
      <w:pPr>
        <w:widowControl w:val="0"/>
        <w:autoSpaceDE w:val="0"/>
        <w:autoSpaceDN w:val="0"/>
        <w:adjustRightInd w:val="0"/>
        <w:spacing w:after="180"/>
        <w:ind w:left="1980" w:hanging="900"/>
        <w:outlineLvl w:val="1"/>
        <w:rPr>
          <w:kern w:val="24"/>
        </w:rPr>
      </w:pPr>
      <w:r w:rsidRPr="00632FB3">
        <w:rPr>
          <w:b/>
          <w:kern w:val="24"/>
        </w:rPr>
        <w:t>60 points</w:t>
      </w:r>
      <w:r w:rsidRPr="00632FB3">
        <w:rPr>
          <w:kern w:val="24"/>
        </w:rPr>
        <w:t xml:space="preserve"> were directly proportional to the CoC score;</w:t>
      </w:r>
    </w:p>
    <w:p w:rsidR="00A84AB6" w:rsidRPr="00632FB3" w:rsidRDefault="00A84AB6" w:rsidP="00D17C08">
      <w:pPr>
        <w:widowControl w:val="0"/>
        <w:autoSpaceDE w:val="0"/>
        <w:autoSpaceDN w:val="0"/>
        <w:adjustRightInd w:val="0"/>
        <w:spacing w:after="180"/>
        <w:ind w:left="1980" w:hanging="900"/>
        <w:outlineLvl w:val="1"/>
        <w:rPr>
          <w:kern w:val="24"/>
        </w:rPr>
      </w:pPr>
      <w:r w:rsidRPr="00632FB3">
        <w:rPr>
          <w:b/>
          <w:kern w:val="24"/>
        </w:rPr>
        <w:t>20 points</w:t>
      </w:r>
      <w:r w:rsidRPr="00632FB3">
        <w:rPr>
          <w:kern w:val="24"/>
        </w:rPr>
        <w:t xml:space="preserve"> were based on where the CoC ranked the project within Tier 2; higher ranked projects received more points;</w:t>
      </w:r>
    </w:p>
    <w:p w:rsidR="00BC7BA3" w:rsidRPr="00632FB3" w:rsidRDefault="00BC7BA3" w:rsidP="00D17C08">
      <w:pPr>
        <w:widowControl w:val="0"/>
        <w:autoSpaceDE w:val="0"/>
        <w:autoSpaceDN w:val="0"/>
        <w:adjustRightInd w:val="0"/>
        <w:spacing w:after="180"/>
        <w:ind w:left="1980" w:hanging="900"/>
        <w:outlineLvl w:val="1"/>
        <w:rPr>
          <w:kern w:val="24"/>
        </w:rPr>
      </w:pPr>
      <w:r w:rsidRPr="00632FB3">
        <w:rPr>
          <w:b/>
          <w:kern w:val="24"/>
        </w:rPr>
        <w:t>10 points</w:t>
      </w:r>
      <w:r w:rsidRPr="00632FB3">
        <w:rPr>
          <w:kern w:val="24"/>
        </w:rPr>
        <w:t xml:space="preserve"> were based on the type of project;</w:t>
      </w:r>
      <w:r w:rsidR="006C16B2">
        <w:rPr>
          <w:kern w:val="24"/>
        </w:rPr>
        <w:t xml:space="preserve"> and</w:t>
      </w:r>
    </w:p>
    <w:p w:rsidR="00BC7BA3" w:rsidRPr="00632FB3" w:rsidRDefault="00BC7BA3" w:rsidP="00D17C08">
      <w:pPr>
        <w:widowControl w:val="0"/>
        <w:autoSpaceDE w:val="0"/>
        <w:autoSpaceDN w:val="0"/>
        <w:adjustRightInd w:val="0"/>
        <w:spacing w:after="180"/>
        <w:ind w:left="1980" w:hanging="900"/>
        <w:outlineLvl w:val="1"/>
        <w:rPr>
          <w:kern w:val="24"/>
        </w:rPr>
      </w:pPr>
      <w:r w:rsidRPr="00632FB3">
        <w:rPr>
          <w:b/>
          <w:kern w:val="24"/>
        </w:rPr>
        <w:t>10 points</w:t>
      </w:r>
      <w:r w:rsidRPr="00632FB3">
        <w:rPr>
          <w:kern w:val="24"/>
        </w:rPr>
        <w:t xml:space="preserve"> were based on the degree to which the project used housing first practices. </w:t>
      </w:r>
    </w:p>
    <w:p w:rsidR="003A1644" w:rsidRDefault="006C16B2" w:rsidP="00D17C08">
      <w:pPr>
        <w:spacing w:after="180"/>
        <w:ind w:left="720" w:hanging="720"/>
        <w:rPr>
          <w:kern w:val="24"/>
        </w:rPr>
      </w:pPr>
      <w:r w:rsidRPr="00144DAE">
        <w:rPr>
          <w:b/>
          <w:kern w:val="24"/>
        </w:rPr>
        <w:t xml:space="preserve">Projects </w:t>
      </w:r>
      <w:r w:rsidRPr="00144DAE">
        <w:rPr>
          <w:b/>
        </w:rPr>
        <w:t>Straddling</w:t>
      </w:r>
      <w:r w:rsidRPr="00144DAE">
        <w:rPr>
          <w:b/>
          <w:kern w:val="24"/>
        </w:rPr>
        <w:t xml:space="preserve"> Tier 1 and Tier</w:t>
      </w:r>
      <w:r w:rsidRPr="006C16B2">
        <w:rPr>
          <w:b/>
          <w:kern w:val="24"/>
        </w:rPr>
        <w:t xml:space="preserve"> 2</w:t>
      </w:r>
      <w:r w:rsidR="009C2FAA">
        <w:rPr>
          <w:b/>
          <w:kern w:val="24"/>
        </w:rPr>
        <w:t>–</w:t>
      </w:r>
      <w:r w:rsidR="00632FB3">
        <w:rPr>
          <w:kern w:val="24"/>
        </w:rPr>
        <w:t xml:space="preserve">HUD </w:t>
      </w:r>
      <w:r w:rsidR="005D7339">
        <w:rPr>
          <w:kern w:val="24"/>
        </w:rPr>
        <w:t xml:space="preserve">first </w:t>
      </w:r>
      <w:r w:rsidR="00632FB3">
        <w:rPr>
          <w:kern w:val="24"/>
        </w:rPr>
        <w:t>reviewed p</w:t>
      </w:r>
      <w:r w:rsidR="00BB60B1" w:rsidRPr="00B42542">
        <w:rPr>
          <w:kern w:val="24"/>
        </w:rPr>
        <w:t xml:space="preserve">roject applications that straddled Tier 1 and Tier </w:t>
      </w:r>
      <w:r w:rsidR="00BC7BA3">
        <w:rPr>
          <w:kern w:val="24"/>
        </w:rPr>
        <w:t xml:space="preserve">2 </w:t>
      </w:r>
      <w:r w:rsidR="00BB60B1" w:rsidRPr="00B42542">
        <w:rPr>
          <w:kern w:val="24"/>
        </w:rPr>
        <w:t xml:space="preserve">to determine if the project passed eligibility and threshold review.  </w:t>
      </w:r>
      <w:r w:rsidR="00632FB3">
        <w:rPr>
          <w:kern w:val="24"/>
        </w:rPr>
        <w:t xml:space="preserve">If the project </w:t>
      </w:r>
      <w:r w:rsidR="00BB60B1" w:rsidRPr="00B42542">
        <w:rPr>
          <w:kern w:val="24"/>
        </w:rPr>
        <w:t>pass</w:t>
      </w:r>
      <w:r w:rsidR="00632FB3">
        <w:rPr>
          <w:kern w:val="24"/>
        </w:rPr>
        <w:t>ed</w:t>
      </w:r>
      <w:r w:rsidR="00BB60B1" w:rsidRPr="00B42542">
        <w:rPr>
          <w:kern w:val="24"/>
        </w:rPr>
        <w:t xml:space="preserve"> eligibility and threshold review, </w:t>
      </w:r>
      <w:r w:rsidR="00632FB3">
        <w:rPr>
          <w:kern w:val="24"/>
        </w:rPr>
        <w:t xml:space="preserve">HUD </w:t>
      </w:r>
      <w:r w:rsidR="00632FB3" w:rsidRPr="00B42542">
        <w:rPr>
          <w:kern w:val="24"/>
        </w:rPr>
        <w:t xml:space="preserve">automatically considered for conditional award </w:t>
      </w:r>
      <w:r w:rsidR="00BB60B1" w:rsidRPr="00B42542">
        <w:rPr>
          <w:kern w:val="24"/>
        </w:rPr>
        <w:t xml:space="preserve">the portion of funding in Tier 1.  </w:t>
      </w:r>
    </w:p>
    <w:p w:rsidR="00BB60B1" w:rsidRPr="00B42542" w:rsidRDefault="00A0298E" w:rsidP="00D17C08">
      <w:pPr>
        <w:widowControl w:val="0"/>
        <w:autoSpaceDE w:val="0"/>
        <w:autoSpaceDN w:val="0"/>
        <w:adjustRightInd w:val="0"/>
        <w:spacing w:after="180"/>
        <w:ind w:left="720"/>
        <w:outlineLvl w:val="1"/>
        <w:rPr>
          <w:kern w:val="24"/>
        </w:rPr>
      </w:pPr>
      <w:r>
        <w:rPr>
          <w:kern w:val="24"/>
        </w:rPr>
        <w:t>HUD scored the Tier 2 portion of the project like every other Tier 2 project</w:t>
      </w:r>
      <w:r w:rsidR="009C2FAA">
        <w:rPr>
          <w:kern w:val="24"/>
        </w:rPr>
        <w:t>.  This meant that if the Tier 2 portion scored high enough to be selected, then HUD conditional</w:t>
      </w:r>
      <w:r w:rsidR="00DE46BF">
        <w:rPr>
          <w:kern w:val="24"/>
        </w:rPr>
        <w:t>ly</w:t>
      </w:r>
      <w:r w:rsidR="009C2FAA">
        <w:rPr>
          <w:kern w:val="24"/>
        </w:rPr>
        <w:t xml:space="preserve"> awarded the entire project.  However, i</w:t>
      </w:r>
      <w:r w:rsidR="00BC7BA3">
        <w:rPr>
          <w:kern w:val="24"/>
        </w:rPr>
        <w:t xml:space="preserve">f </w:t>
      </w:r>
      <w:r w:rsidR="005D7339">
        <w:rPr>
          <w:kern w:val="24"/>
        </w:rPr>
        <w:t xml:space="preserve">HUD did not select </w:t>
      </w:r>
      <w:r w:rsidR="00BC7BA3">
        <w:rPr>
          <w:kern w:val="24"/>
        </w:rPr>
        <w:t xml:space="preserve">the Tier 2 portion, </w:t>
      </w:r>
      <w:r>
        <w:rPr>
          <w:kern w:val="24"/>
        </w:rPr>
        <w:t xml:space="preserve">then </w:t>
      </w:r>
      <w:r w:rsidR="005D7339">
        <w:rPr>
          <w:kern w:val="24"/>
        </w:rPr>
        <w:t xml:space="preserve">HUD </w:t>
      </w:r>
      <w:r w:rsidR="00BC7BA3">
        <w:rPr>
          <w:kern w:val="24"/>
        </w:rPr>
        <w:t xml:space="preserve">only </w:t>
      </w:r>
      <w:r w:rsidR="005D7339">
        <w:rPr>
          <w:kern w:val="24"/>
        </w:rPr>
        <w:t xml:space="preserve">conditionally awarded </w:t>
      </w:r>
      <w:r w:rsidR="00BC7BA3">
        <w:rPr>
          <w:kern w:val="24"/>
        </w:rPr>
        <w:t xml:space="preserve">the Tier 1 portion </w:t>
      </w:r>
      <w:r w:rsidR="00DE46BF">
        <w:rPr>
          <w:kern w:val="24"/>
        </w:rPr>
        <w:t>so long as</w:t>
      </w:r>
      <w:r>
        <w:rPr>
          <w:kern w:val="24"/>
        </w:rPr>
        <w:t xml:space="preserve"> the project</w:t>
      </w:r>
      <w:r w:rsidR="00BC7BA3">
        <w:rPr>
          <w:kern w:val="24"/>
        </w:rPr>
        <w:t xml:space="preserve"> would be feasible</w:t>
      </w:r>
      <w:r>
        <w:rPr>
          <w:kern w:val="24"/>
        </w:rPr>
        <w:t xml:space="preserve"> with only Tier 1 funding</w:t>
      </w:r>
      <w:r w:rsidR="00BC7BA3">
        <w:rPr>
          <w:kern w:val="24"/>
        </w:rPr>
        <w:t xml:space="preserve">. </w:t>
      </w:r>
    </w:p>
    <w:p w:rsidR="00733CC9" w:rsidRPr="00B42542" w:rsidRDefault="00144DAE" w:rsidP="00D17C08">
      <w:pPr>
        <w:spacing w:after="180"/>
        <w:ind w:left="720" w:hanging="720"/>
        <w:rPr>
          <w:kern w:val="24"/>
        </w:rPr>
      </w:pPr>
      <w:r w:rsidRPr="00144DAE">
        <w:rPr>
          <w:b/>
          <w:kern w:val="24"/>
        </w:rPr>
        <w:t>Why HUD Funded Lower Rank Projects–</w:t>
      </w:r>
      <w:r w:rsidR="00733CC9" w:rsidRPr="00B42542">
        <w:rPr>
          <w:kern w:val="24"/>
        </w:rPr>
        <w:t xml:space="preserve">There </w:t>
      </w:r>
      <w:r w:rsidR="005D7339">
        <w:rPr>
          <w:kern w:val="24"/>
        </w:rPr>
        <w:t>were</w:t>
      </w:r>
      <w:r w:rsidR="005D7339" w:rsidRPr="00B42542">
        <w:rPr>
          <w:kern w:val="24"/>
        </w:rPr>
        <w:t xml:space="preserve"> </w:t>
      </w:r>
      <w:r w:rsidR="00733CC9" w:rsidRPr="00B42542">
        <w:rPr>
          <w:kern w:val="24"/>
        </w:rPr>
        <w:t>instances where HUD selected a lower ranked Tier 2 project over a higher ranked Tier 2 project</w:t>
      </w:r>
      <w:r w:rsidR="003B0BAB">
        <w:rPr>
          <w:kern w:val="24"/>
        </w:rPr>
        <w:t>,</w:t>
      </w:r>
      <w:r w:rsidR="009C2FAA">
        <w:rPr>
          <w:kern w:val="24"/>
        </w:rPr>
        <w:t xml:space="preserve"> which occurred for one of two reasons:</w:t>
      </w:r>
    </w:p>
    <w:p w:rsidR="00733CC9" w:rsidRPr="00B42542" w:rsidRDefault="00733CC9" w:rsidP="00D17C08">
      <w:pPr>
        <w:widowControl w:val="0"/>
        <w:numPr>
          <w:ilvl w:val="1"/>
          <w:numId w:val="12"/>
        </w:numPr>
        <w:autoSpaceDE w:val="0"/>
        <w:autoSpaceDN w:val="0"/>
        <w:adjustRightInd w:val="0"/>
        <w:spacing w:after="180"/>
        <w:ind w:left="1440"/>
        <w:outlineLvl w:val="1"/>
        <w:rPr>
          <w:kern w:val="24"/>
        </w:rPr>
      </w:pPr>
      <w:r w:rsidRPr="00B42542">
        <w:rPr>
          <w:kern w:val="24"/>
        </w:rPr>
        <w:t>the lower ranked project was a permanent housing project</w:t>
      </w:r>
      <w:r w:rsidR="003B0BAB">
        <w:rPr>
          <w:kern w:val="24"/>
        </w:rPr>
        <w:t xml:space="preserve"> and</w:t>
      </w:r>
      <w:r w:rsidRPr="00B42542">
        <w:rPr>
          <w:kern w:val="24"/>
        </w:rPr>
        <w:t xml:space="preserve"> the higher ranked project was a transitional housing or supportive services only </w:t>
      </w:r>
      <w:r w:rsidR="003B0BAB">
        <w:rPr>
          <w:kern w:val="24"/>
        </w:rPr>
        <w:t xml:space="preserve">(SSO) </w:t>
      </w:r>
      <w:r w:rsidRPr="00B42542">
        <w:rPr>
          <w:kern w:val="24"/>
        </w:rPr>
        <w:t>project</w:t>
      </w:r>
      <w:r w:rsidR="00BC7BA3">
        <w:rPr>
          <w:kern w:val="24"/>
        </w:rPr>
        <w:t>, in which case, the points for the type of housing may have outweighed the points for how the projects were ranked by the CoC</w:t>
      </w:r>
      <w:r w:rsidRPr="00B42542">
        <w:rPr>
          <w:kern w:val="24"/>
        </w:rPr>
        <w:t>; or</w:t>
      </w:r>
    </w:p>
    <w:p w:rsidR="00733CC9" w:rsidRPr="00B42542" w:rsidRDefault="00733CC9" w:rsidP="00D17C08">
      <w:pPr>
        <w:widowControl w:val="0"/>
        <w:numPr>
          <w:ilvl w:val="1"/>
          <w:numId w:val="12"/>
        </w:numPr>
        <w:autoSpaceDE w:val="0"/>
        <w:autoSpaceDN w:val="0"/>
        <w:adjustRightInd w:val="0"/>
        <w:spacing w:after="180"/>
        <w:ind w:left="1440"/>
        <w:outlineLvl w:val="1"/>
        <w:rPr>
          <w:kern w:val="24"/>
        </w:rPr>
      </w:pPr>
      <w:r w:rsidRPr="00B42542">
        <w:rPr>
          <w:kern w:val="24"/>
        </w:rPr>
        <w:t>the lower ranked project and the higher ranked project were the same type (e.g., permanent housing)</w:t>
      </w:r>
      <w:r w:rsidR="003B0BAB">
        <w:rPr>
          <w:kern w:val="24"/>
        </w:rPr>
        <w:t xml:space="preserve"> but</w:t>
      </w:r>
      <w:r w:rsidRPr="00B42542">
        <w:rPr>
          <w:kern w:val="24"/>
        </w:rPr>
        <w:t xml:space="preserve"> the lower ranked project demonstrated a commitment to Housing First</w:t>
      </w:r>
      <w:r w:rsidR="003B0BAB">
        <w:rPr>
          <w:kern w:val="24"/>
        </w:rPr>
        <w:t xml:space="preserve"> and</w:t>
      </w:r>
      <w:r w:rsidRPr="00B42542">
        <w:rPr>
          <w:kern w:val="24"/>
        </w:rPr>
        <w:t xml:space="preserve"> the higher ranked project did not.</w:t>
      </w:r>
    </w:p>
    <w:p w:rsidR="001E01BE" w:rsidRDefault="0034541E" w:rsidP="00D17C08">
      <w:pPr>
        <w:spacing w:after="180"/>
        <w:ind w:left="720" w:hanging="720"/>
        <w:rPr>
          <w:kern w:val="24"/>
        </w:rPr>
      </w:pPr>
      <w:r w:rsidRPr="00144DAE">
        <w:rPr>
          <w:b/>
          <w:kern w:val="24"/>
        </w:rPr>
        <w:t>CoC Planning and UFA Costs</w:t>
      </w:r>
      <w:r w:rsidR="006C16B2">
        <w:rPr>
          <w:kern w:val="24"/>
        </w:rPr>
        <w:t xml:space="preserve">–HUD </w:t>
      </w:r>
      <w:r w:rsidRPr="00B42542">
        <w:rPr>
          <w:kern w:val="24"/>
        </w:rPr>
        <w:t xml:space="preserve">conditionally selected </w:t>
      </w:r>
      <w:r w:rsidR="006C16B2">
        <w:rPr>
          <w:kern w:val="24"/>
        </w:rPr>
        <w:t xml:space="preserve">these projects </w:t>
      </w:r>
      <w:r w:rsidR="00144DAE">
        <w:rPr>
          <w:kern w:val="24"/>
        </w:rPr>
        <w:t>if</w:t>
      </w:r>
      <w:r w:rsidR="006C16B2">
        <w:rPr>
          <w:kern w:val="24"/>
        </w:rPr>
        <w:t xml:space="preserve"> </w:t>
      </w:r>
      <w:r w:rsidR="00CB5CE2" w:rsidRPr="00B42542">
        <w:rPr>
          <w:kern w:val="24"/>
        </w:rPr>
        <w:t xml:space="preserve">they passed eligibility and threshold review.  </w:t>
      </w:r>
      <w:r w:rsidR="00144DAE">
        <w:rPr>
          <w:kern w:val="24"/>
        </w:rPr>
        <w:t>HUD did not rank them in Tier 1 or Tier 2.</w:t>
      </w:r>
    </w:p>
    <w:p w:rsidR="001E01BE" w:rsidRPr="00B42542" w:rsidRDefault="001E01BE" w:rsidP="009E4637">
      <w:pPr>
        <w:pStyle w:val="Heading1"/>
        <w:spacing w:after="180"/>
      </w:pPr>
      <w:bookmarkStart w:id="4" w:name="_Toc451542992"/>
      <w:r w:rsidRPr="00B42542">
        <w:t>Establishing CoC’s ARD</w:t>
      </w:r>
      <w:bookmarkEnd w:id="4"/>
    </w:p>
    <w:p w:rsidR="001E01BE" w:rsidRPr="00D17C08" w:rsidRDefault="006C16B2" w:rsidP="009E4637">
      <w:pPr>
        <w:pStyle w:val="Heading2"/>
        <w:rPr>
          <w:b w:val="0"/>
        </w:rPr>
      </w:pPr>
      <w:r w:rsidRPr="00D17C08">
        <w:rPr>
          <w:b w:val="0"/>
        </w:rPr>
        <w:t xml:space="preserve">HUD established the CoC’s ARD using </w:t>
      </w:r>
      <w:r w:rsidR="001E01BE" w:rsidRPr="00D17C08">
        <w:rPr>
          <w:b w:val="0"/>
        </w:rPr>
        <w:t>the GIW</w:t>
      </w:r>
      <w:r w:rsidRPr="00D17C08">
        <w:rPr>
          <w:b w:val="0"/>
        </w:rPr>
        <w:t xml:space="preserve"> and based on </w:t>
      </w:r>
      <w:r w:rsidR="001E01BE" w:rsidRPr="00D17C08">
        <w:rPr>
          <w:b w:val="0"/>
        </w:rPr>
        <w:t xml:space="preserve"> 24 CFR 578.17(b)(2)</w:t>
      </w:r>
      <w:r w:rsidRPr="00D17C08">
        <w:rPr>
          <w:b w:val="0"/>
        </w:rPr>
        <w:t>.</w:t>
      </w:r>
      <w:r w:rsidR="001E01BE" w:rsidRPr="00D17C08">
        <w:rPr>
          <w:b w:val="0"/>
        </w:rPr>
        <w:t xml:space="preserve"> </w:t>
      </w:r>
      <w:r w:rsidRPr="00D17C08">
        <w:rPr>
          <w:b w:val="0"/>
        </w:rPr>
        <w:t xml:space="preserve"> HUD allowed for a 10-day grace period after NOFA publication for CoCs to make final changes.</w:t>
      </w:r>
    </w:p>
    <w:p w:rsidR="001E01BE" w:rsidRPr="00B9509B" w:rsidRDefault="003E27E3" w:rsidP="009E4637">
      <w:pPr>
        <w:spacing w:after="180"/>
      </w:pPr>
      <w:r w:rsidRPr="00B9509B">
        <w:t xml:space="preserve">If CoCs failed to include eligible projects on the GIW they submitted for final HUD approval, </w:t>
      </w:r>
      <w:r w:rsidR="006C16B2" w:rsidRPr="00B9509B">
        <w:t xml:space="preserve">HUD </w:t>
      </w:r>
      <w:r w:rsidRPr="00B9509B">
        <w:t xml:space="preserve">still </w:t>
      </w:r>
      <w:r w:rsidR="006C16B2" w:rsidRPr="00B9509B">
        <w:t xml:space="preserve">allowed </w:t>
      </w:r>
      <w:r w:rsidRPr="00B9509B">
        <w:t xml:space="preserve">the </w:t>
      </w:r>
      <w:r w:rsidR="0029592A" w:rsidRPr="00B9509B">
        <w:t xml:space="preserve">CoCs to submit </w:t>
      </w:r>
      <w:r w:rsidRPr="00B9509B">
        <w:t xml:space="preserve">the </w:t>
      </w:r>
      <w:r w:rsidR="0029592A" w:rsidRPr="00B9509B">
        <w:t xml:space="preserve">projects </w:t>
      </w:r>
      <w:r w:rsidRPr="00B9509B">
        <w:t>during the Competition</w:t>
      </w:r>
      <w:r w:rsidR="0029592A" w:rsidRPr="00B9509B">
        <w:t xml:space="preserve">; however, HUD did not increase the CoC’s ARD.  </w:t>
      </w:r>
    </w:p>
    <w:p w:rsidR="001E01BE" w:rsidRPr="00B9509B" w:rsidRDefault="003E27E3" w:rsidP="009E4637">
      <w:pPr>
        <w:spacing w:after="180"/>
      </w:pPr>
      <w:r w:rsidRPr="00B9509B">
        <w:t xml:space="preserve">If CoCs included projects on the GIW that were not eligible for renewal in </w:t>
      </w:r>
      <w:r w:rsidR="001E01BE" w:rsidRPr="00B9509B">
        <w:t>in the FY 2015 CoC Program Competition</w:t>
      </w:r>
      <w:r w:rsidRPr="00B9509B">
        <w:t xml:space="preserve">, HUD deleted those projects </w:t>
      </w:r>
      <w:r w:rsidR="003B0BAB" w:rsidRPr="00B9509B">
        <w:t xml:space="preserve">from the GIW </w:t>
      </w:r>
      <w:r w:rsidRPr="00B9509B">
        <w:t>and reduced the CoC’s ARD by the amount of the ineligible project.</w:t>
      </w:r>
    </w:p>
    <w:p w:rsidR="002452FF" w:rsidRPr="00B42542" w:rsidRDefault="002452FF" w:rsidP="009E4637">
      <w:pPr>
        <w:pStyle w:val="Heading1"/>
        <w:spacing w:after="180"/>
      </w:pPr>
      <w:bookmarkStart w:id="5" w:name="_Toc451542993"/>
      <w:r w:rsidRPr="00B42542">
        <w:t>Project and CoC Applications</w:t>
      </w:r>
      <w:bookmarkEnd w:id="5"/>
    </w:p>
    <w:p w:rsidR="0085633F" w:rsidRPr="0050336E" w:rsidRDefault="003E27E3" w:rsidP="009E4637">
      <w:pPr>
        <w:spacing w:after="180"/>
        <w:rPr>
          <w:b/>
        </w:rPr>
      </w:pPr>
      <w:r>
        <w:t xml:space="preserve">HUD redesigned the </w:t>
      </w:r>
      <w:r w:rsidR="002452FF" w:rsidRPr="00B42542">
        <w:t xml:space="preserve">FY </w:t>
      </w:r>
      <w:r w:rsidR="00F31F5D" w:rsidRPr="00B42542">
        <w:t>2015</w:t>
      </w:r>
      <w:r w:rsidR="002452FF" w:rsidRPr="00B42542">
        <w:t xml:space="preserve"> </w:t>
      </w:r>
      <w:r w:rsidR="0085633F" w:rsidRPr="00B42542">
        <w:t xml:space="preserve">CoC Application </w:t>
      </w:r>
      <w:r w:rsidR="00B375AE" w:rsidRPr="00B42542">
        <w:t>to place more emphasis on system level performance and CoC</w:t>
      </w:r>
      <w:r w:rsidR="00C04F88">
        <w:t>-</w:t>
      </w:r>
      <w:r w:rsidR="00B375AE" w:rsidRPr="00B42542">
        <w:t xml:space="preserve">wide progress on national goals set in </w:t>
      </w:r>
      <w:r w:rsidR="00B375AE" w:rsidRPr="0050336E">
        <w:rPr>
          <w:i/>
        </w:rPr>
        <w:t>Opening Doors</w:t>
      </w:r>
      <w:r w:rsidR="00B375AE" w:rsidRPr="00B42542">
        <w:t xml:space="preserve">.  </w:t>
      </w:r>
    </w:p>
    <w:p w:rsidR="00C96DB1" w:rsidRPr="003B0BAB" w:rsidRDefault="0050336E" w:rsidP="009E4637">
      <w:pPr>
        <w:tabs>
          <w:tab w:val="left" w:pos="900"/>
        </w:tabs>
        <w:spacing w:after="180"/>
        <w:ind w:left="900" w:hanging="900"/>
        <w:rPr>
          <w:rFonts w:eastAsia="Calibri"/>
        </w:rPr>
      </w:pPr>
      <w:r w:rsidRPr="00AA5842">
        <w:rPr>
          <w:b/>
        </w:rPr>
        <w:t>Consolidated Application–</w:t>
      </w:r>
      <w:r w:rsidR="00DE46BF">
        <w:t>T</w:t>
      </w:r>
      <w:r w:rsidR="003B0BAB">
        <w:t>he</w:t>
      </w:r>
      <w:r w:rsidR="003B0BAB" w:rsidRPr="00B42542">
        <w:t xml:space="preserve"> </w:t>
      </w:r>
      <w:r w:rsidR="00C27DB6" w:rsidRPr="00B42542">
        <w:t>CoC Consolidated Application</w:t>
      </w:r>
      <w:r w:rsidR="003B0BAB">
        <w:t xml:space="preserve"> </w:t>
      </w:r>
      <w:r w:rsidR="00C27DB6" w:rsidRPr="00B42542">
        <w:t>was a two-part submission</w:t>
      </w:r>
      <w:r w:rsidR="003B0BAB">
        <w:t xml:space="preserve">–(1) </w:t>
      </w:r>
      <w:r w:rsidR="00C27DB6" w:rsidRPr="00B42542">
        <w:t xml:space="preserve">CoC Application and </w:t>
      </w:r>
      <w:r w:rsidR="003B0BAB">
        <w:t xml:space="preserve">(2) </w:t>
      </w:r>
      <w:r w:rsidR="00C27DB6" w:rsidRPr="00B42542">
        <w:t>Project Priority Listing</w:t>
      </w:r>
      <w:r w:rsidR="003B0BAB">
        <w:t>,</w:t>
      </w:r>
      <w:r w:rsidR="00C27DB6" w:rsidRPr="00B42542">
        <w:t xml:space="preserve"> which included the locally approved </w:t>
      </w:r>
      <w:r w:rsidR="00C96DB1" w:rsidRPr="00B42542">
        <w:t xml:space="preserve">and ranked </w:t>
      </w:r>
      <w:r w:rsidR="00C27DB6" w:rsidRPr="00B42542">
        <w:t xml:space="preserve">project applications.  </w:t>
      </w:r>
      <w:r w:rsidR="003B0BAB">
        <w:t xml:space="preserve">If a CoC failed to submit either part, HUD considered the application to be incomplete.  This meant that HUD could not consider any project for funding during the FY 2015 CoC Program Competition.  A number of CoCs </w:t>
      </w:r>
      <w:r w:rsidR="00647E16">
        <w:t xml:space="preserve">failed to submit complete applications which resulted in not only loss of funding, but also made the CoC ineligible to </w:t>
      </w:r>
      <w:r w:rsidR="00DE46BF">
        <w:t xml:space="preserve">receive </w:t>
      </w:r>
      <w:r w:rsidR="00647E16">
        <w:t xml:space="preserve">bonus funding </w:t>
      </w:r>
      <w:r w:rsidR="00DE46BF">
        <w:t>or</w:t>
      </w:r>
      <w:r w:rsidR="00647E16">
        <w:t xml:space="preserve"> planning funding.   </w:t>
      </w:r>
      <w:r w:rsidR="00AA5842" w:rsidRPr="00AA5842">
        <w:rPr>
          <w:rFonts w:eastAsia="Calibri"/>
          <w:b/>
        </w:rPr>
        <w:t>Project Applications–</w:t>
      </w:r>
      <w:r w:rsidR="00647E16">
        <w:rPr>
          <w:rFonts w:eastAsia="Calibri"/>
        </w:rPr>
        <w:t xml:space="preserve">HUD required project applicants to </w:t>
      </w:r>
      <w:r w:rsidR="009D0124">
        <w:rPr>
          <w:rFonts w:eastAsia="Calibri"/>
        </w:rPr>
        <w:t>complete</w:t>
      </w:r>
      <w:r w:rsidR="00647E16">
        <w:rPr>
          <w:rFonts w:eastAsia="Calibri"/>
        </w:rPr>
        <w:t xml:space="preserve"> the following based on project type:</w:t>
      </w:r>
    </w:p>
    <w:p w:rsidR="00C96DB1" w:rsidRPr="00B42542" w:rsidRDefault="007A4DD2" w:rsidP="009E4637">
      <w:pPr>
        <w:spacing w:after="180"/>
        <w:ind w:left="2160" w:hanging="1080"/>
        <w:rPr>
          <w:rFonts w:eastAsia="Calibri"/>
        </w:rPr>
      </w:pPr>
      <w:r w:rsidRPr="00647E16">
        <w:rPr>
          <w:rFonts w:eastAsia="Calibri"/>
          <w:b/>
        </w:rPr>
        <w:t>Renewal</w:t>
      </w:r>
      <w:r w:rsidR="00647E16">
        <w:rPr>
          <w:rFonts w:eastAsia="Calibri"/>
          <w:b/>
        </w:rPr>
        <w:t>–</w:t>
      </w:r>
      <w:r w:rsidRPr="00B42542">
        <w:rPr>
          <w:rFonts w:eastAsia="Calibri"/>
        </w:rPr>
        <w:t xml:space="preserve">verify basic project and budget information, </w:t>
      </w:r>
      <w:r w:rsidR="00C96DB1" w:rsidRPr="00B42542">
        <w:rPr>
          <w:rFonts w:eastAsia="Calibri"/>
        </w:rPr>
        <w:t xml:space="preserve">answer housing first and barrier to entry questions, </w:t>
      </w:r>
      <w:r w:rsidRPr="00B42542">
        <w:rPr>
          <w:rFonts w:eastAsia="Calibri"/>
        </w:rPr>
        <w:t xml:space="preserve">select the grant term, and certify the </w:t>
      </w:r>
      <w:r w:rsidR="00D22E16" w:rsidRPr="00B42542">
        <w:rPr>
          <w:rFonts w:eastAsia="Calibri"/>
        </w:rPr>
        <w:t xml:space="preserve">budget </w:t>
      </w:r>
      <w:r w:rsidRPr="00B42542">
        <w:rPr>
          <w:rFonts w:eastAsia="Calibri"/>
        </w:rPr>
        <w:t>request f</w:t>
      </w:r>
      <w:r w:rsidR="00D22E16" w:rsidRPr="00B42542">
        <w:rPr>
          <w:rFonts w:eastAsia="Calibri"/>
        </w:rPr>
        <w:t>or</w:t>
      </w:r>
      <w:r w:rsidRPr="00B42542">
        <w:rPr>
          <w:rFonts w:eastAsia="Calibri"/>
        </w:rPr>
        <w:t xml:space="preserve"> renewal</w:t>
      </w:r>
      <w:r w:rsidRPr="00B42542">
        <w:t>.</w:t>
      </w:r>
    </w:p>
    <w:p w:rsidR="007A4DD2" w:rsidRPr="00B42542" w:rsidRDefault="007A4DD2" w:rsidP="009E4637">
      <w:pPr>
        <w:spacing w:after="180"/>
        <w:ind w:left="2160" w:hanging="1080"/>
        <w:rPr>
          <w:rFonts w:eastAsia="Calibri"/>
        </w:rPr>
      </w:pPr>
      <w:r w:rsidRPr="00647E16">
        <w:rPr>
          <w:rFonts w:eastAsia="Calibri"/>
          <w:b/>
        </w:rPr>
        <w:t>New</w:t>
      </w:r>
      <w:r w:rsidR="00647E16" w:rsidRPr="0050336E">
        <w:rPr>
          <w:b/>
        </w:rPr>
        <w:t>–</w:t>
      </w:r>
      <w:r w:rsidRPr="00B42542">
        <w:t xml:space="preserve">complete the project application in its entirety. </w:t>
      </w:r>
    </w:p>
    <w:p w:rsidR="00C96DB1" w:rsidRPr="00B42542" w:rsidRDefault="00C96DB1" w:rsidP="009E4637">
      <w:pPr>
        <w:spacing w:after="180"/>
        <w:ind w:left="2160" w:hanging="1080"/>
        <w:rPr>
          <w:rFonts w:eastAsia="Calibri"/>
        </w:rPr>
      </w:pPr>
      <w:r w:rsidRPr="00647E16">
        <w:rPr>
          <w:rFonts w:eastAsia="Calibri"/>
          <w:b/>
        </w:rPr>
        <w:t xml:space="preserve">CoC </w:t>
      </w:r>
      <w:r w:rsidR="0050336E">
        <w:rPr>
          <w:rFonts w:eastAsia="Calibri"/>
          <w:b/>
        </w:rPr>
        <w:t>P</w:t>
      </w:r>
      <w:r w:rsidR="0050336E" w:rsidRPr="00647E16">
        <w:rPr>
          <w:rFonts w:eastAsia="Calibri"/>
          <w:b/>
        </w:rPr>
        <w:t>lanning</w:t>
      </w:r>
      <w:r w:rsidR="00647E16">
        <w:rPr>
          <w:rFonts w:eastAsia="Calibri"/>
          <w:b/>
        </w:rPr>
        <w:t>–</w:t>
      </w:r>
      <w:r w:rsidR="00471FD5" w:rsidRPr="00B42542">
        <w:t>answer questions concerning governance and collaboration in addition to budget and planning activity details.</w:t>
      </w:r>
    </w:p>
    <w:p w:rsidR="002452FF" w:rsidRPr="00B42542" w:rsidRDefault="00C96DB1" w:rsidP="009E4637">
      <w:pPr>
        <w:spacing w:after="180"/>
        <w:ind w:left="2160" w:hanging="1080"/>
        <w:rPr>
          <w:rFonts w:eastAsia="Calibri"/>
        </w:rPr>
      </w:pPr>
      <w:r w:rsidRPr="00647E16">
        <w:rPr>
          <w:rFonts w:eastAsia="Calibri"/>
          <w:b/>
        </w:rPr>
        <w:t>UFA Costs</w:t>
      </w:r>
      <w:r w:rsidR="009D0124">
        <w:rPr>
          <w:rFonts w:eastAsia="Calibri"/>
          <w:b/>
        </w:rPr>
        <w:t>–</w:t>
      </w:r>
      <w:r w:rsidRPr="00B42542">
        <w:t>complete budget information</w:t>
      </w:r>
      <w:r w:rsidR="00D22E16" w:rsidRPr="00B42542">
        <w:t xml:space="preserve"> </w:t>
      </w:r>
      <w:r w:rsidR="009D0124">
        <w:t>only–most of the</w:t>
      </w:r>
      <w:r w:rsidR="00D22E16" w:rsidRPr="00B42542">
        <w:t xml:space="preserve"> UFA information was captured during FY 2015 CoC Program Registration</w:t>
      </w:r>
      <w:r w:rsidRPr="00B42542">
        <w:t>.</w:t>
      </w:r>
    </w:p>
    <w:p w:rsidR="002657D4" w:rsidRPr="00D17C08" w:rsidRDefault="0050336E" w:rsidP="00D17C08">
      <w:pPr>
        <w:tabs>
          <w:tab w:val="left" w:pos="900"/>
        </w:tabs>
        <w:spacing w:after="180"/>
        <w:ind w:left="900" w:hanging="900"/>
        <w:rPr>
          <w:rFonts w:eastAsia="Calibri"/>
        </w:rPr>
      </w:pPr>
      <w:r w:rsidRPr="00D17C08">
        <w:rPr>
          <w:rFonts w:eastAsia="Calibri"/>
          <w:b/>
        </w:rPr>
        <w:t xml:space="preserve">Housing </w:t>
      </w:r>
      <w:r w:rsidRPr="00D17C08">
        <w:rPr>
          <w:b/>
        </w:rPr>
        <w:t>First</w:t>
      </w:r>
      <w:r w:rsidRPr="00D17C08">
        <w:rPr>
          <w:rFonts w:eastAsia="Calibri"/>
          <w:b/>
        </w:rPr>
        <w:t>–</w:t>
      </w:r>
      <w:r w:rsidRPr="00D17C08">
        <w:rPr>
          <w:rFonts w:eastAsia="Calibri"/>
        </w:rPr>
        <w:t>HUD made</w:t>
      </w:r>
      <w:r w:rsidR="002657D4" w:rsidRPr="00D17C08">
        <w:rPr>
          <w:rFonts w:eastAsia="Calibri"/>
        </w:rPr>
        <w:t xml:space="preserve"> the final selection </w:t>
      </w:r>
      <w:r w:rsidR="00DE46BF">
        <w:rPr>
          <w:rFonts w:eastAsia="Calibri"/>
        </w:rPr>
        <w:t xml:space="preserve">about whether a project used housing first practices </w:t>
      </w:r>
      <w:r w:rsidR="002657D4" w:rsidRPr="00D17C08">
        <w:rPr>
          <w:rFonts w:eastAsia="Calibri"/>
        </w:rPr>
        <w:t>based on the answers provided to both the Housing First and low</w:t>
      </w:r>
      <w:r w:rsidRPr="00D17C08">
        <w:rPr>
          <w:rFonts w:eastAsia="Calibri"/>
        </w:rPr>
        <w:t>-</w:t>
      </w:r>
      <w:r w:rsidR="002657D4" w:rsidRPr="00D17C08">
        <w:rPr>
          <w:rFonts w:eastAsia="Calibri"/>
        </w:rPr>
        <w:t>barrier questions in the project application</w:t>
      </w:r>
      <w:r w:rsidR="00C04F88" w:rsidRPr="00D17C08">
        <w:rPr>
          <w:rFonts w:eastAsia="Calibri"/>
        </w:rPr>
        <w:t>.</w:t>
      </w:r>
    </w:p>
    <w:p w:rsidR="002657D4" w:rsidRPr="00D17C08" w:rsidRDefault="0050336E" w:rsidP="00D17C08">
      <w:pPr>
        <w:tabs>
          <w:tab w:val="left" w:pos="900"/>
        </w:tabs>
        <w:spacing w:after="180"/>
        <w:ind w:left="900" w:hanging="900"/>
        <w:rPr>
          <w:rFonts w:eastAsia="Calibri"/>
        </w:rPr>
      </w:pPr>
      <w:r w:rsidRPr="00D17C08">
        <w:rPr>
          <w:rFonts w:eastAsia="Calibri"/>
          <w:b/>
        </w:rPr>
        <w:t xml:space="preserve">Award </w:t>
      </w:r>
      <w:r w:rsidRPr="00D17C08">
        <w:rPr>
          <w:b/>
        </w:rPr>
        <w:t>Amount</w:t>
      </w:r>
      <w:r w:rsidRPr="00D17C08">
        <w:rPr>
          <w:rFonts w:eastAsia="Calibri"/>
          <w:b/>
        </w:rPr>
        <w:t xml:space="preserve"> Changes–</w:t>
      </w:r>
      <w:r w:rsidR="002657D4" w:rsidRPr="00D17C08">
        <w:rPr>
          <w:rFonts w:eastAsia="Calibri"/>
        </w:rPr>
        <w:t>HUD may have reduced an award amount for a project because the project applicant requested an amount that exceeded the amount available.</w:t>
      </w:r>
    </w:p>
    <w:p w:rsidR="002657D4" w:rsidRPr="00D17C08" w:rsidRDefault="0050336E" w:rsidP="00D17C08">
      <w:pPr>
        <w:tabs>
          <w:tab w:val="left" w:pos="900"/>
        </w:tabs>
        <w:spacing w:after="180"/>
        <w:ind w:left="900" w:hanging="900"/>
        <w:rPr>
          <w:rFonts w:eastAsia="Calibri"/>
        </w:rPr>
      </w:pPr>
      <w:r w:rsidRPr="00D17C08">
        <w:rPr>
          <w:rFonts w:eastAsia="Calibri"/>
          <w:b/>
        </w:rPr>
        <w:t>N</w:t>
      </w:r>
      <w:r w:rsidR="002657D4" w:rsidRPr="00D17C08">
        <w:rPr>
          <w:rFonts w:eastAsia="Calibri"/>
          <w:b/>
        </w:rPr>
        <w:t xml:space="preserve">ew project </w:t>
      </w:r>
      <w:r w:rsidR="002657D4" w:rsidRPr="00D17C08">
        <w:rPr>
          <w:b/>
        </w:rPr>
        <w:t>created</w:t>
      </w:r>
      <w:r w:rsidR="002657D4" w:rsidRPr="00D17C08">
        <w:rPr>
          <w:rFonts w:eastAsia="Calibri"/>
          <w:b/>
        </w:rPr>
        <w:t xml:space="preserve"> through reallocation</w:t>
      </w:r>
      <w:r w:rsidRPr="00D17C08">
        <w:rPr>
          <w:rFonts w:eastAsia="Calibri"/>
          <w:b/>
        </w:rPr>
        <w:t>–</w:t>
      </w:r>
      <w:r w:rsidRPr="00D17C08">
        <w:rPr>
          <w:rFonts w:eastAsia="Calibri"/>
        </w:rPr>
        <w:t xml:space="preserve">HUD reduced the award amount when a project applicant requested more funding than was available from reallocation–for example, if a </w:t>
      </w:r>
      <w:r w:rsidR="002657D4" w:rsidRPr="00D17C08">
        <w:rPr>
          <w:rFonts w:eastAsia="Calibri"/>
        </w:rPr>
        <w:t xml:space="preserve">CoC reallocated $10,000 </w:t>
      </w:r>
      <w:r w:rsidR="00C04F88" w:rsidRPr="00D17C08">
        <w:rPr>
          <w:rFonts w:eastAsia="Calibri"/>
        </w:rPr>
        <w:t xml:space="preserve">but applied for </w:t>
      </w:r>
      <w:r w:rsidR="002657D4" w:rsidRPr="00D17C08">
        <w:rPr>
          <w:rFonts w:eastAsia="Calibri"/>
        </w:rPr>
        <w:t xml:space="preserve">a new reallocated project </w:t>
      </w:r>
      <w:r w:rsidR="00C04F88" w:rsidRPr="00D17C08">
        <w:rPr>
          <w:rFonts w:eastAsia="Calibri"/>
        </w:rPr>
        <w:t xml:space="preserve">for </w:t>
      </w:r>
      <w:r w:rsidR="002657D4" w:rsidRPr="00D17C08">
        <w:rPr>
          <w:rFonts w:eastAsia="Calibri"/>
        </w:rPr>
        <w:t>$15,000</w:t>
      </w:r>
      <w:r w:rsidRPr="00D17C08">
        <w:rPr>
          <w:rFonts w:eastAsia="Calibri"/>
        </w:rPr>
        <w:t xml:space="preserve">, HUD only awarded </w:t>
      </w:r>
      <w:r w:rsidR="002657D4" w:rsidRPr="00D17C08">
        <w:rPr>
          <w:rFonts w:eastAsia="Calibri"/>
        </w:rPr>
        <w:t>$10,000</w:t>
      </w:r>
      <w:r w:rsidR="00DE46BF">
        <w:rPr>
          <w:rFonts w:eastAsia="Calibri"/>
        </w:rPr>
        <w:t>.</w:t>
      </w:r>
    </w:p>
    <w:p w:rsidR="002657D4" w:rsidRPr="00D17C08" w:rsidRDefault="0050336E" w:rsidP="00D17C08">
      <w:pPr>
        <w:tabs>
          <w:tab w:val="left" w:pos="900"/>
        </w:tabs>
        <w:spacing w:after="180"/>
        <w:ind w:left="900" w:hanging="900"/>
        <w:rPr>
          <w:rFonts w:eastAsia="Calibri"/>
        </w:rPr>
      </w:pPr>
      <w:r w:rsidRPr="00D17C08">
        <w:rPr>
          <w:rFonts w:eastAsia="Calibri"/>
          <w:b/>
        </w:rPr>
        <w:t>N</w:t>
      </w:r>
      <w:r w:rsidR="002657D4" w:rsidRPr="00D17C08">
        <w:rPr>
          <w:rFonts w:eastAsia="Calibri"/>
          <w:b/>
        </w:rPr>
        <w:t>ew project created through the permanent housing bonus</w:t>
      </w:r>
      <w:r w:rsidRPr="00D17C08">
        <w:rPr>
          <w:rFonts w:eastAsia="Calibri"/>
          <w:b/>
        </w:rPr>
        <w:t>–</w:t>
      </w:r>
      <w:r w:rsidRPr="00D17C08">
        <w:rPr>
          <w:rFonts w:eastAsia="Calibri"/>
        </w:rPr>
        <w:t xml:space="preserve">HUD reduced the award amount </w:t>
      </w:r>
      <w:r w:rsidR="00DE46BF">
        <w:rPr>
          <w:rFonts w:eastAsia="Calibri"/>
        </w:rPr>
        <w:t xml:space="preserve">if the CoC applied for more than </w:t>
      </w:r>
      <w:r w:rsidRPr="00D17C08">
        <w:rPr>
          <w:rFonts w:eastAsia="Calibri"/>
        </w:rPr>
        <w:t>the maximum amount available to the CoC for the permanent housing</w:t>
      </w:r>
      <w:r w:rsidR="002657D4" w:rsidRPr="00D17C08">
        <w:rPr>
          <w:rFonts w:eastAsia="Calibri"/>
        </w:rPr>
        <w:t xml:space="preserve">.  </w:t>
      </w:r>
    </w:p>
    <w:p w:rsidR="002657D4" w:rsidRPr="00D17C08" w:rsidRDefault="0050336E" w:rsidP="00D17C08">
      <w:pPr>
        <w:tabs>
          <w:tab w:val="left" w:pos="900"/>
        </w:tabs>
        <w:spacing w:after="180"/>
        <w:ind w:left="900" w:hanging="900"/>
        <w:rPr>
          <w:rFonts w:eastAsia="Calibri"/>
        </w:rPr>
      </w:pPr>
      <w:r w:rsidRPr="00D17C08">
        <w:rPr>
          <w:b/>
        </w:rPr>
        <w:t>R</w:t>
      </w:r>
      <w:r w:rsidR="002657D4" w:rsidRPr="00D17C08">
        <w:rPr>
          <w:b/>
        </w:rPr>
        <w:t>enewal projects</w:t>
      </w:r>
      <w:r w:rsidR="00B9509B" w:rsidRPr="00D17C08">
        <w:rPr>
          <w:rFonts w:eastAsia="Calibri"/>
          <w:b/>
        </w:rPr>
        <w:t>–</w:t>
      </w:r>
      <w:r w:rsidR="00B9509B" w:rsidRPr="00D17C08">
        <w:rPr>
          <w:rFonts w:eastAsia="Calibri"/>
        </w:rPr>
        <w:t xml:space="preserve">HUD reduced the award amount to fit within the ARA–for example </w:t>
      </w:r>
      <w:r w:rsidR="002657D4" w:rsidRPr="00D17C08">
        <w:rPr>
          <w:rFonts w:eastAsia="Calibri"/>
        </w:rPr>
        <w:t xml:space="preserve">a renewal project may have exceeded the ARA or </w:t>
      </w:r>
      <w:r w:rsidR="00B9509B" w:rsidRPr="00D17C08">
        <w:rPr>
          <w:rFonts w:eastAsia="Calibri"/>
        </w:rPr>
        <w:t>a</w:t>
      </w:r>
      <w:r w:rsidR="00DE46BF">
        <w:rPr>
          <w:rFonts w:eastAsia="Calibri"/>
        </w:rPr>
        <w:t xml:space="preserve"> rental assistance project</w:t>
      </w:r>
      <w:r w:rsidR="002657D4" w:rsidRPr="00D17C08">
        <w:rPr>
          <w:rFonts w:eastAsia="Calibri"/>
        </w:rPr>
        <w:t xml:space="preserve"> incorrectly changed the unit configuration or number of units approved on the final HUD-approved GIW.</w:t>
      </w:r>
    </w:p>
    <w:p w:rsidR="002657D4" w:rsidRPr="00B42542" w:rsidRDefault="00AA5842" w:rsidP="00D17C08">
      <w:pPr>
        <w:pStyle w:val="ListParagraph"/>
        <w:numPr>
          <w:ilvl w:val="0"/>
          <w:numId w:val="8"/>
        </w:numPr>
        <w:spacing w:after="180"/>
        <w:contextualSpacing w:val="0"/>
        <w:rPr>
          <w:rFonts w:eastAsia="Calibri"/>
        </w:rPr>
      </w:pPr>
      <w:r>
        <w:rPr>
          <w:rFonts w:eastAsia="Calibri"/>
        </w:rPr>
        <w:t xml:space="preserve">HUD awarded </w:t>
      </w:r>
      <w:r w:rsidR="002657D4" w:rsidRPr="00B42542">
        <w:rPr>
          <w:rFonts w:eastAsia="Calibri"/>
        </w:rPr>
        <w:t xml:space="preserve">3 bonus points </w:t>
      </w:r>
      <w:r w:rsidR="00DE46BF">
        <w:rPr>
          <w:rFonts w:eastAsia="Calibri"/>
        </w:rPr>
        <w:t>to</w:t>
      </w:r>
      <w:r w:rsidR="002657D4" w:rsidRPr="00B42542">
        <w:rPr>
          <w:rFonts w:eastAsia="Calibri"/>
        </w:rPr>
        <w:t xml:space="preserve"> CoC</w:t>
      </w:r>
      <w:r>
        <w:rPr>
          <w:rFonts w:eastAsia="Calibri"/>
        </w:rPr>
        <w:t>s that</w:t>
      </w:r>
      <w:r w:rsidR="002657D4" w:rsidRPr="00B42542">
        <w:rPr>
          <w:rFonts w:eastAsia="Calibri"/>
        </w:rPr>
        <w:t xml:space="preserve"> submitted both the CoC Application and the CoC Priority Listing by </w:t>
      </w:r>
      <w:r w:rsidR="00DE46BF">
        <w:rPr>
          <w:rFonts w:eastAsia="Calibri"/>
        </w:rPr>
        <w:t xml:space="preserve">7:59:59 on November 19, 2015. </w:t>
      </w:r>
    </w:p>
    <w:p w:rsidR="002657D4" w:rsidRPr="00B42542" w:rsidRDefault="00B9509B" w:rsidP="00D17C08">
      <w:pPr>
        <w:tabs>
          <w:tab w:val="left" w:pos="900"/>
        </w:tabs>
        <w:spacing w:after="180"/>
        <w:ind w:left="900" w:hanging="900"/>
        <w:rPr>
          <w:rFonts w:eastAsia="Calibri"/>
        </w:rPr>
      </w:pPr>
      <w:r w:rsidRPr="00B9509B">
        <w:rPr>
          <w:rFonts w:eastAsia="Calibri"/>
          <w:b/>
        </w:rPr>
        <w:t xml:space="preserve">High </w:t>
      </w:r>
      <w:r w:rsidRPr="00D17C08">
        <w:rPr>
          <w:b/>
        </w:rPr>
        <w:t>Performing</w:t>
      </w:r>
      <w:r w:rsidRPr="00B9509B">
        <w:rPr>
          <w:rFonts w:eastAsia="Calibri"/>
          <w:b/>
        </w:rPr>
        <w:t xml:space="preserve"> Community</w:t>
      </w:r>
      <w:r>
        <w:rPr>
          <w:rFonts w:eastAsia="Calibri"/>
        </w:rPr>
        <w:t xml:space="preserve">–HUD did not approve any </w:t>
      </w:r>
      <w:r w:rsidR="002657D4" w:rsidRPr="00B42542">
        <w:rPr>
          <w:rFonts w:eastAsia="Calibri"/>
        </w:rPr>
        <w:t xml:space="preserve">CoC to serve persons defined as homeless under paragraph (3) of the definition of homeless in 24 CFR 583.5.  Therefore, </w:t>
      </w:r>
      <w:r>
        <w:rPr>
          <w:rFonts w:eastAsia="Calibri"/>
        </w:rPr>
        <w:t>all projects funded during the FY 2015 CoC Program Competition are prohibited from serving this population with FY 2015 CoC Program funds.</w:t>
      </w:r>
    </w:p>
    <w:p w:rsidR="004F3532" w:rsidRPr="00B42542" w:rsidRDefault="004F3532" w:rsidP="009E4637">
      <w:pPr>
        <w:pStyle w:val="Heading1"/>
        <w:spacing w:after="180"/>
      </w:pPr>
      <w:bookmarkStart w:id="6" w:name="_Toc451542994"/>
      <w:r w:rsidRPr="00B42542">
        <w:t>Permanent Housing Bonus</w:t>
      </w:r>
      <w:bookmarkEnd w:id="6"/>
    </w:p>
    <w:p w:rsidR="004F3532" w:rsidRPr="00B42542" w:rsidRDefault="004936E2" w:rsidP="009E4637">
      <w:pPr>
        <w:spacing w:after="180"/>
      </w:pPr>
      <w:r w:rsidRPr="00B42542">
        <w:t xml:space="preserve">CoCs </w:t>
      </w:r>
      <w:r w:rsidR="00AA5842">
        <w:t xml:space="preserve">could have </w:t>
      </w:r>
      <w:r w:rsidRPr="00B42542">
        <w:t>create</w:t>
      </w:r>
      <w:r w:rsidR="00AA5842">
        <w:t>d</w:t>
      </w:r>
      <w:r w:rsidRPr="00B42542">
        <w:t xml:space="preserve"> </w:t>
      </w:r>
      <w:r w:rsidR="00AA5842">
        <w:t xml:space="preserve">the following </w:t>
      </w:r>
      <w:r w:rsidRPr="00B42542">
        <w:t xml:space="preserve">new projects through the permanent housing bonus </w:t>
      </w:r>
      <w:r w:rsidR="00F14F53">
        <w:t xml:space="preserve">for </w:t>
      </w:r>
      <w:r w:rsidRPr="00B42542">
        <w:t xml:space="preserve">up to 15 percent of the CoC’s FPRN: </w:t>
      </w:r>
    </w:p>
    <w:p w:rsidR="004936E2" w:rsidRPr="00B42542" w:rsidRDefault="00AA5842" w:rsidP="009E4637">
      <w:pPr>
        <w:spacing w:after="180"/>
        <w:ind w:left="720" w:hanging="360"/>
      </w:pPr>
      <w:r>
        <w:rPr>
          <w:b/>
        </w:rPr>
        <w:t>P</w:t>
      </w:r>
      <w:r w:rsidR="00A26845" w:rsidRPr="00AA5842">
        <w:rPr>
          <w:b/>
        </w:rPr>
        <w:t xml:space="preserve">ermanent </w:t>
      </w:r>
      <w:r w:rsidR="00352481">
        <w:rPr>
          <w:b/>
        </w:rPr>
        <w:t>S</w:t>
      </w:r>
      <w:r w:rsidR="00352481" w:rsidRPr="00AA5842">
        <w:rPr>
          <w:b/>
        </w:rPr>
        <w:t xml:space="preserve">upportive </w:t>
      </w:r>
      <w:r w:rsidR="00352481">
        <w:rPr>
          <w:b/>
        </w:rPr>
        <w:t>H</w:t>
      </w:r>
      <w:r w:rsidR="00352481" w:rsidRPr="00AA5842">
        <w:rPr>
          <w:b/>
        </w:rPr>
        <w:t xml:space="preserve">ousing </w:t>
      </w:r>
      <w:r w:rsidR="00F14F53" w:rsidRPr="00AA5842">
        <w:rPr>
          <w:b/>
        </w:rPr>
        <w:t>projects</w:t>
      </w:r>
      <w:r w:rsidR="00F14F53">
        <w:t xml:space="preserve"> </w:t>
      </w:r>
      <w:r w:rsidR="00A26845" w:rsidRPr="00B42542">
        <w:t>that serve 100 percent chronically homeless individuals</w:t>
      </w:r>
      <w:r w:rsidR="00BF5013" w:rsidRPr="00B42542">
        <w:t>,</w:t>
      </w:r>
      <w:r w:rsidR="00A26845" w:rsidRPr="00B42542">
        <w:t xml:space="preserve"> families, and</w:t>
      </w:r>
      <w:r w:rsidR="00BF5013" w:rsidRPr="00B42542">
        <w:t xml:space="preserve"> unaccompanied youth</w:t>
      </w:r>
      <w:r>
        <w:t>;</w:t>
      </w:r>
      <w:r w:rsidR="00BF5013" w:rsidRPr="00B42542">
        <w:t xml:space="preserve"> and</w:t>
      </w:r>
    </w:p>
    <w:p w:rsidR="00A26845" w:rsidRPr="00B42542" w:rsidRDefault="00A26845" w:rsidP="009E4637">
      <w:pPr>
        <w:spacing w:after="180"/>
        <w:ind w:left="720" w:hanging="360"/>
      </w:pPr>
      <w:r w:rsidRPr="00AA5842">
        <w:rPr>
          <w:b/>
        </w:rPr>
        <w:t xml:space="preserve">Rapid </w:t>
      </w:r>
      <w:r w:rsidR="00352481">
        <w:rPr>
          <w:b/>
        </w:rPr>
        <w:t>R</w:t>
      </w:r>
      <w:r w:rsidR="00352481" w:rsidRPr="00AA5842">
        <w:rPr>
          <w:b/>
        </w:rPr>
        <w:t>e</w:t>
      </w:r>
      <w:r w:rsidR="00352481">
        <w:rPr>
          <w:b/>
        </w:rPr>
        <w:t>-</w:t>
      </w:r>
      <w:r w:rsidR="00352481" w:rsidRPr="00AA5842">
        <w:rPr>
          <w:b/>
        </w:rPr>
        <w:t xml:space="preserve">housing </w:t>
      </w:r>
      <w:r w:rsidRPr="00AA5842">
        <w:rPr>
          <w:b/>
        </w:rPr>
        <w:t>projects</w:t>
      </w:r>
      <w:r w:rsidRPr="00B42542">
        <w:t xml:space="preserve"> </w:t>
      </w:r>
      <w:r w:rsidR="00F149BB" w:rsidRPr="00B42542">
        <w:t xml:space="preserve">that </w:t>
      </w:r>
      <w:r w:rsidRPr="00B42542">
        <w:t>serve homeless individuals, families</w:t>
      </w:r>
      <w:r w:rsidR="00F14F53">
        <w:t>,</w:t>
      </w:r>
      <w:r w:rsidRPr="00B42542">
        <w:t xml:space="preserve"> and unaccompanied youth coming directly from the streets or emergency shelters or persons </w:t>
      </w:r>
      <w:r w:rsidR="00F14F53">
        <w:t>fleeing domestic violence (category 4</w:t>
      </w:r>
      <w:r w:rsidRPr="00B42542">
        <w:t xml:space="preserve"> of the definition of homelessness</w:t>
      </w:r>
      <w:r w:rsidR="00F14F53">
        <w:t>)</w:t>
      </w:r>
      <w:r w:rsidRPr="00B42542">
        <w:t>.</w:t>
      </w:r>
    </w:p>
    <w:p w:rsidR="002452FF" w:rsidRPr="00B42542" w:rsidRDefault="003E28D4" w:rsidP="009E4637">
      <w:pPr>
        <w:pStyle w:val="Heading1"/>
        <w:spacing w:after="180"/>
      </w:pPr>
      <w:bookmarkStart w:id="7" w:name="_Toc451542995"/>
      <w:r>
        <w:t>Budgets and Unit Configuration</w:t>
      </w:r>
      <w:bookmarkEnd w:id="7"/>
      <w:r>
        <w:t xml:space="preserve"> </w:t>
      </w:r>
    </w:p>
    <w:p w:rsidR="003E28D4" w:rsidRPr="003E28D4" w:rsidRDefault="003E28D4" w:rsidP="009E4637">
      <w:pPr>
        <w:spacing w:after="180"/>
        <w:rPr>
          <w:rFonts w:eastAsia="Calibri"/>
        </w:rPr>
      </w:pPr>
      <w:r w:rsidRPr="003E28D4">
        <w:rPr>
          <w:rFonts w:eastAsia="Calibri"/>
        </w:rPr>
        <w:t xml:space="preserve">HUD </w:t>
      </w:r>
      <w:r>
        <w:rPr>
          <w:rFonts w:eastAsia="Calibri"/>
        </w:rPr>
        <w:t>adjusted budgets and unit configurations if while reviewing the application, the numbers did not match those on the final HUD-Approved GIW.</w:t>
      </w:r>
    </w:p>
    <w:p w:rsidR="00982EFC" w:rsidRPr="00B42542" w:rsidRDefault="00D52B4E" w:rsidP="009E4637">
      <w:pPr>
        <w:spacing w:after="180"/>
        <w:ind w:left="1080" w:hanging="720"/>
        <w:rPr>
          <w:rFonts w:eastAsia="Calibri"/>
        </w:rPr>
      </w:pPr>
      <w:r w:rsidRPr="00D52B4E">
        <w:rPr>
          <w:rFonts w:eastAsia="Calibri"/>
          <w:b/>
        </w:rPr>
        <w:t>Project Budgets–</w:t>
      </w:r>
      <w:r>
        <w:rPr>
          <w:rFonts w:eastAsia="Calibri"/>
        </w:rPr>
        <w:t>If a p</w:t>
      </w:r>
      <w:r w:rsidR="00F91491" w:rsidRPr="00B42542">
        <w:rPr>
          <w:rFonts w:eastAsia="Calibri"/>
        </w:rPr>
        <w:t>roject application b</w:t>
      </w:r>
      <w:r w:rsidR="009732B0" w:rsidRPr="00B42542">
        <w:rPr>
          <w:rFonts w:eastAsia="Calibri"/>
        </w:rPr>
        <w:t>udget</w:t>
      </w:r>
      <w:r w:rsidR="002A13F8" w:rsidRPr="00B42542">
        <w:rPr>
          <w:rFonts w:eastAsia="Calibri"/>
        </w:rPr>
        <w:t xml:space="preserve"> </w:t>
      </w:r>
      <w:r w:rsidR="00982EFC" w:rsidRPr="00B42542">
        <w:rPr>
          <w:rFonts w:eastAsia="Calibri"/>
        </w:rPr>
        <w:t xml:space="preserve">exceeded </w:t>
      </w:r>
      <w:r w:rsidR="009732B0" w:rsidRPr="00B42542">
        <w:rPr>
          <w:rFonts w:eastAsia="Calibri"/>
        </w:rPr>
        <w:t xml:space="preserve">the </w:t>
      </w:r>
      <w:r w:rsidR="00982EFC" w:rsidRPr="00B42542">
        <w:rPr>
          <w:rFonts w:eastAsia="Calibri"/>
        </w:rPr>
        <w:t xml:space="preserve">ARA on the final </w:t>
      </w:r>
      <w:r w:rsidR="009732B0" w:rsidRPr="00B42542">
        <w:rPr>
          <w:rFonts w:eastAsia="Calibri"/>
        </w:rPr>
        <w:t>HUD</w:t>
      </w:r>
      <w:r w:rsidR="006530B5" w:rsidRPr="00B42542">
        <w:rPr>
          <w:rFonts w:eastAsia="Calibri"/>
        </w:rPr>
        <w:t>-</w:t>
      </w:r>
      <w:r w:rsidR="009732B0" w:rsidRPr="00B42542">
        <w:rPr>
          <w:rFonts w:eastAsia="Calibri"/>
        </w:rPr>
        <w:t>approved GIW</w:t>
      </w:r>
      <w:r>
        <w:rPr>
          <w:rFonts w:eastAsia="Calibri"/>
        </w:rPr>
        <w:t>, HUD</w:t>
      </w:r>
      <w:r w:rsidR="009732B0" w:rsidRPr="00B42542">
        <w:rPr>
          <w:rFonts w:eastAsia="Calibri"/>
        </w:rPr>
        <w:t xml:space="preserve"> reduced</w:t>
      </w:r>
      <w:r w:rsidR="00982EFC" w:rsidRPr="00B42542">
        <w:rPr>
          <w:rFonts w:eastAsia="Calibri"/>
        </w:rPr>
        <w:t xml:space="preserve"> </w:t>
      </w:r>
      <w:r>
        <w:rPr>
          <w:rFonts w:eastAsia="Calibri"/>
        </w:rPr>
        <w:t xml:space="preserve">the amounts </w:t>
      </w:r>
      <w:r w:rsidR="00982EFC" w:rsidRPr="00B42542">
        <w:rPr>
          <w:rFonts w:eastAsia="Calibri"/>
        </w:rPr>
        <w:t xml:space="preserve">to match the amount </w:t>
      </w:r>
      <w:r>
        <w:rPr>
          <w:rFonts w:eastAsia="Calibri"/>
        </w:rPr>
        <w:t xml:space="preserve">on the </w:t>
      </w:r>
      <w:r w:rsidR="00647A6F">
        <w:rPr>
          <w:rFonts w:eastAsia="Calibri"/>
        </w:rPr>
        <w:t>GIW</w:t>
      </w:r>
      <w:r w:rsidR="00982EFC" w:rsidRPr="00B42542">
        <w:rPr>
          <w:rFonts w:eastAsia="Calibri"/>
        </w:rPr>
        <w:t>.</w:t>
      </w:r>
    </w:p>
    <w:p w:rsidR="009732B0" w:rsidRPr="00B42542" w:rsidRDefault="00D52B4E" w:rsidP="009E4637">
      <w:pPr>
        <w:spacing w:after="180"/>
        <w:ind w:left="1080" w:hanging="720"/>
        <w:rPr>
          <w:rFonts w:eastAsia="Calibri"/>
        </w:rPr>
      </w:pPr>
      <w:r w:rsidRPr="00D52B4E">
        <w:rPr>
          <w:rFonts w:eastAsia="Calibri"/>
          <w:b/>
        </w:rPr>
        <w:t>Unit</w:t>
      </w:r>
      <w:r w:rsidR="003E28D4">
        <w:rPr>
          <w:rFonts w:eastAsia="Calibri"/>
          <w:b/>
        </w:rPr>
        <w:t xml:space="preserve"> Configuration</w:t>
      </w:r>
      <w:r w:rsidRPr="00D52B4E">
        <w:rPr>
          <w:rFonts w:eastAsia="Calibri"/>
          <w:b/>
        </w:rPr>
        <w:t>–</w:t>
      </w:r>
      <w:r>
        <w:rPr>
          <w:rFonts w:eastAsia="Calibri"/>
        </w:rPr>
        <w:t xml:space="preserve">If a project application </w:t>
      </w:r>
      <w:r w:rsidR="003E28D4">
        <w:rPr>
          <w:rFonts w:eastAsia="Calibri"/>
        </w:rPr>
        <w:t>requested</w:t>
      </w:r>
      <w:r>
        <w:rPr>
          <w:rFonts w:eastAsia="Calibri"/>
        </w:rPr>
        <w:t xml:space="preserve"> a unit </w:t>
      </w:r>
      <w:r w:rsidR="003E28D4">
        <w:rPr>
          <w:rFonts w:eastAsia="Calibri"/>
        </w:rPr>
        <w:t>configuration different than</w:t>
      </w:r>
      <w:r>
        <w:rPr>
          <w:rFonts w:eastAsia="Calibri"/>
        </w:rPr>
        <w:t xml:space="preserve"> the </w:t>
      </w:r>
      <w:r w:rsidRPr="00B42542">
        <w:rPr>
          <w:rFonts w:eastAsia="Calibri"/>
        </w:rPr>
        <w:t>final HUD-approved GIW</w:t>
      </w:r>
      <w:r>
        <w:rPr>
          <w:rFonts w:eastAsia="Calibri"/>
        </w:rPr>
        <w:t xml:space="preserve">, HUD changed the unit configuration to match </w:t>
      </w:r>
      <w:r w:rsidR="003E28D4">
        <w:rPr>
          <w:rFonts w:eastAsia="Calibri"/>
        </w:rPr>
        <w:t>the unit configuration on</w:t>
      </w:r>
      <w:r>
        <w:rPr>
          <w:rFonts w:eastAsia="Calibri"/>
        </w:rPr>
        <w:t xml:space="preserve"> </w:t>
      </w:r>
      <w:r w:rsidR="00764D8B" w:rsidRPr="00B42542">
        <w:rPr>
          <w:rFonts w:eastAsia="Calibri"/>
        </w:rPr>
        <w:t>the final HUD-approved GIW</w:t>
      </w:r>
      <w:r w:rsidR="003E28D4">
        <w:rPr>
          <w:rFonts w:eastAsia="Calibri"/>
        </w:rPr>
        <w:t>.</w:t>
      </w:r>
    </w:p>
    <w:p w:rsidR="00AC26EE" w:rsidRPr="00B42542" w:rsidRDefault="003E7BBB" w:rsidP="009E4637">
      <w:pPr>
        <w:pStyle w:val="Heading1"/>
        <w:spacing w:after="180"/>
      </w:pPr>
      <w:bookmarkStart w:id="8" w:name="_Toc451542996"/>
      <w:r w:rsidRPr="00B42542">
        <w:t>Reallocation</w:t>
      </w:r>
      <w:bookmarkEnd w:id="8"/>
    </w:p>
    <w:p w:rsidR="003E7BBB" w:rsidRPr="00B42542" w:rsidRDefault="00AC26EE" w:rsidP="009E4637">
      <w:pPr>
        <w:spacing w:after="180"/>
      </w:pPr>
      <w:r w:rsidRPr="00B42542">
        <w:t xml:space="preserve">All CoCs </w:t>
      </w:r>
      <w:r w:rsidR="00D17C08">
        <w:t>could</w:t>
      </w:r>
      <w:r w:rsidRPr="00B42542">
        <w:t xml:space="preserve"> </w:t>
      </w:r>
      <w:r w:rsidR="00647A6F">
        <w:t>create new projects by reallocating</w:t>
      </w:r>
      <w:r w:rsidRPr="00B42542">
        <w:t xml:space="preserve"> funds in whole or part from existing eligible renewal projects</w:t>
      </w:r>
      <w:r w:rsidR="00647A6F">
        <w:t xml:space="preserve"> </w:t>
      </w:r>
      <w:r w:rsidRPr="00B42542">
        <w:t xml:space="preserve">without decreasing the CoC’s ARD.  </w:t>
      </w:r>
      <w:r w:rsidR="00352481">
        <w:t>HUD did not guarantee f</w:t>
      </w:r>
      <w:r w:rsidR="00352481" w:rsidRPr="00B42542">
        <w:t xml:space="preserve">unding </w:t>
      </w:r>
      <w:r w:rsidRPr="00B42542">
        <w:t xml:space="preserve">for </w:t>
      </w:r>
      <w:r w:rsidR="00887179">
        <w:t xml:space="preserve">such </w:t>
      </w:r>
      <w:r w:rsidRPr="00B42542">
        <w:t>new projects created through reallocation</w:t>
      </w:r>
      <w:r w:rsidR="00887179">
        <w:t>, rather HUD</w:t>
      </w:r>
      <w:r w:rsidR="00352481">
        <w:t xml:space="preserve"> required that </w:t>
      </w:r>
      <w:r w:rsidR="00887179">
        <w:t>such projects</w:t>
      </w:r>
      <w:r w:rsidR="00352481">
        <w:t xml:space="preserve"> </w:t>
      </w:r>
      <w:r w:rsidRPr="00B42542">
        <w:t xml:space="preserve">meet the requirements set forth in the FY 2015 CoC Program NOFA and pass project eligibility and threshold review.  CoCs </w:t>
      </w:r>
      <w:r w:rsidR="00887179">
        <w:t>could reallocate</w:t>
      </w:r>
      <w:r w:rsidR="00887179" w:rsidRPr="00B42542">
        <w:t xml:space="preserve"> to</w:t>
      </w:r>
      <w:r w:rsidRPr="00B42542">
        <w:t xml:space="preserve"> create</w:t>
      </w:r>
      <w:r w:rsidR="00887179">
        <w:t xml:space="preserve"> the following new projects</w:t>
      </w:r>
      <w:r w:rsidRPr="00B42542">
        <w:t>:</w:t>
      </w:r>
    </w:p>
    <w:p w:rsidR="00752726" w:rsidRPr="00B42542" w:rsidRDefault="00887179" w:rsidP="00D17C08">
      <w:pPr>
        <w:pStyle w:val="ListParagraph"/>
        <w:numPr>
          <w:ilvl w:val="0"/>
          <w:numId w:val="15"/>
        </w:numPr>
        <w:spacing w:after="180"/>
        <w:contextualSpacing w:val="0"/>
      </w:pPr>
      <w:r w:rsidRPr="00887179">
        <w:rPr>
          <w:b/>
        </w:rPr>
        <w:t>P</w:t>
      </w:r>
      <w:r w:rsidR="00752726" w:rsidRPr="00887179">
        <w:rPr>
          <w:b/>
        </w:rPr>
        <w:t>ermanent supportive housing</w:t>
      </w:r>
      <w:r w:rsidR="00752726" w:rsidRPr="00B42542">
        <w:t xml:space="preserve"> for chronically homeless individuals, families, and unaccompanied youth;</w:t>
      </w:r>
    </w:p>
    <w:p w:rsidR="00752726" w:rsidRPr="00B42542" w:rsidRDefault="00752726" w:rsidP="00D17C08">
      <w:pPr>
        <w:pStyle w:val="ListParagraph"/>
        <w:numPr>
          <w:ilvl w:val="0"/>
          <w:numId w:val="15"/>
        </w:numPr>
        <w:spacing w:after="180"/>
        <w:contextualSpacing w:val="0"/>
      </w:pPr>
      <w:r w:rsidRPr="00887179">
        <w:rPr>
          <w:b/>
        </w:rPr>
        <w:t>Rapid re</w:t>
      </w:r>
      <w:r w:rsidR="00887179" w:rsidRPr="00887179">
        <w:rPr>
          <w:b/>
        </w:rPr>
        <w:t>-</w:t>
      </w:r>
      <w:r w:rsidRPr="00887179">
        <w:rPr>
          <w:b/>
        </w:rPr>
        <w:t>housing</w:t>
      </w:r>
      <w:r w:rsidRPr="00B42542">
        <w:t xml:space="preserve"> to serve homeless individuals, families and unaccompanied youth coming directly from the streets or emergency shelters or persons that met the criteria of </w:t>
      </w:r>
      <w:r w:rsidR="00F14F53">
        <w:t xml:space="preserve">category </w:t>
      </w:r>
      <w:r w:rsidRPr="00B42542">
        <w:t>4 of the definition of homeless</w:t>
      </w:r>
      <w:r w:rsidR="00F14F53">
        <w:t>, which means they were fleeing domestic violence</w:t>
      </w:r>
      <w:r w:rsidRPr="00B42542">
        <w:t>;</w:t>
      </w:r>
    </w:p>
    <w:p w:rsidR="00752726" w:rsidRPr="00B42542" w:rsidRDefault="00752726" w:rsidP="00D17C08">
      <w:pPr>
        <w:pStyle w:val="ListParagraph"/>
        <w:numPr>
          <w:ilvl w:val="0"/>
          <w:numId w:val="15"/>
        </w:numPr>
        <w:spacing w:after="180"/>
        <w:contextualSpacing w:val="0"/>
      </w:pPr>
      <w:r w:rsidRPr="00887179">
        <w:rPr>
          <w:b/>
        </w:rPr>
        <w:t>Dedicated Homeless Management Information System</w:t>
      </w:r>
      <w:r w:rsidRPr="00B42542">
        <w:t xml:space="preserve"> (HMIS); and</w:t>
      </w:r>
    </w:p>
    <w:p w:rsidR="00752726" w:rsidRPr="00647A6F" w:rsidRDefault="00752726" w:rsidP="00647A6F">
      <w:pPr>
        <w:pStyle w:val="ListParagraph"/>
        <w:numPr>
          <w:ilvl w:val="0"/>
          <w:numId w:val="15"/>
        </w:numPr>
        <w:spacing w:after="180"/>
        <w:contextualSpacing w:val="0"/>
      </w:pPr>
      <w:r w:rsidRPr="00887179">
        <w:rPr>
          <w:b/>
        </w:rPr>
        <w:t>Supportive Services Only</w:t>
      </w:r>
      <w:r w:rsidRPr="00B42542">
        <w:t xml:space="preserve"> (SSO) for a coordinated entry process.</w:t>
      </w:r>
    </w:p>
    <w:p w:rsidR="00752726" w:rsidRPr="00B42542" w:rsidRDefault="00E01739" w:rsidP="009E4637">
      <w:pPr>
        <w:spacing w:after="180"/>
        <w:ind w:left="1080" w:hanging="720"/>
        <w:rPr>
          <w:rFonts w:eastAsia="Calibri"/>
        </w:rPr>
      </w:pPr>
      <w:r w:rsidRPr="00E01739">
        <w:rPr>
          <w:rFonts w:eastAsia="Calibri"/>
          <w:b/>
        </w:rPr>
        <w:t>Projects Automatically Rejected</w:t>
      </w:r>
      <w:r>
        <w:rPr>
          <w:rFonts w:eastAsia="Calibri"/>
        </w:rPr>
        <w:t>–HUD rejected any</w:t>
      </w:r>
      <w:r w:rsidR="00752726" w:rsidRPr="00B42542">
        <w:rPr>
          <w:rFonts w:eastAsia="Calibri"/>
        </w:rPr>
        <w:t xml:space="preserve"> new project application submitted by a CoC that </w:t>
      </w:r>
      <w:r>
        <w:rPr>
          <w:rFonts w:eastAsia="Calibri"/>
        </w:rPr>
        <w:t>was</w:t>
      </w:r>
      <w:r w:rsidRPr="00B42542">
        <w:rPr>
          <w:rFonts w:eastAsia="Calibri"/>
        </w:rPr>
        <w:t xml:space="preserve"> </w:t>
      </w:r>
      <w:r w:rsidR="00752726" w:rsidRPr="00B42542">
        <w:rPr>
          <w:rFonts w:eastAsia="Calibri"/>
        </w:rPr>
        <w:t xml:space="preserve">not </w:t>
      </w:r>
      <w:r w:rsidR="00647A6F">
        <w:rPr>
          <w:rFonts w:eastAsia="Calibri"/>
        </w:rPr>
        <w:t>a Permanent H</w:t>
      </w:r>
      <w:r w:rsidR="00752726" w:rsidRPr="00B42542">
        <w:rPr>
          <w:rFonts w:eastAsia="Calibri"/>
        </w:rPr>
        <w:t xml:space="preserve">ousing Bonus </w:t>
      </w:r>
      <w:r>
        <w:rPr>
          <w:rFonts w:eastAsia="Calibri"/>
        </w:rPr>
        <w:t xml:space="preserve">projects or </w:t>
      </w:r>
      <w:r w:rsidR="00647A6F">
        <w:rPr>
          <w:rFonts w:eastAsia="Calibri"/>
        </w:rPr>
        <w:t>a project</w:t>
      </w:r>
      <w:r>
        <w:rPr>
          <w:rFonts w:eastAsia="Calibri"/>
        </w:rPr>
        <w:t xml:space="preserve"> created through reallocation.  </w:t>
      </w:r>
    </w:p>
    <w:p w:rsidR="003E7BBB" w:rsidRPr="00B42542" w:rsidRDefault="00E01739" w:rsidP="00647A6F">
      <w:pPr>
        <w:spacing w:after="180"/>
        <w:ind w:left="1080" w:hanging="720"/>
        <w:rPr>
          <w:rFonts w:eastAsia="Calibri"/>
          <w:b/>
          <w:bCs/>
        </w:rPr>
      </w:pPr>
      <w:r w:rsidRPr="00E01739">
        <w:rPr>
          <w:rFonts w:eastAsia="Calibri"/>
          <w:b/>
          <w:bCs/>
        </w:rPr>
        <w:t>Renewal Projects Not Funded in FY 2015 Competition–</w:t>
      </w:r>
      <w:r w:rsidR="003E7BBB" w:rsidRPr="00B42542">
        <w:rPr>
          <w:rFonts w:eastAsia="Calibri"/>
          <w:bCs/>
        </w:rPr>
        <w:t>For eligible renewal projects that were reallocated in whole</w:t>
      </w:r>
      <w:r w:rsidR="006535D1">
        <w:rPr>
          <w:rFonts w:eastAsia="Calibri"/>
          <w:bCs/>
        </w:rPr>
        <w:t>–</w:t>
      </w:r>
      <w:r w:rsidR="003E7BBB" w:rsidRPr="00B42542">
        <w:rPr>
          <w:rFonts w:eastAsia="Calibri"/>
          <w:bCs/>
        </w:rPr>
        <w:t>meaning all of the eligible renewal funding for a project was reallocated to create a new project</w:t>
      </w:r>
      <w:r w:rsidR="006535D1">
        <w:rPr>
          <w:rFonts w:eastAsia="Calibri"/>
          <w:bCs/>
        </w:rPr>
        <w:t xml:space="preserve">–when </w:t>
      </w:r>
      <w:r w:rsidR="006535D1" w:rsidRPr="00B42542">
        <w:rPr>
          <w:rFonts w:eastAsia="Calibri"/>
          <w:bCs/>
        </w:rPr>
        <w:t xml:space="preserve">the operating year ends in FY 2015, the project will no longer receive HUD funding and therefore, must retain other sources of funding to continue operations or find other suitable projects to transfer </w:t>
      </w:r>
      <w:r w:rsidR="006535D1">
        <w:rPr>
          <w:rFonts w:eastAsia="Calibri"/>
          <w:bCs/>
        </w:rPr>
        <w:t xml:space="preserve">program </w:t>
      </w:r>
      <w:r w:rsidR="006535D1" w:rsidRPr="00B42542">
        <w:rPr>
          <w:rFonts w:eastAsia="Calibri"/>
          <w:bCs/>
        </w:rPr>
        <w:t>participants.</w:t>
      </w:r>
    </w:p>
    <w:p w:rsidR="00E8468F" w:rsidRPr="00647A6F" w:rsidRDefault="003E7BBB" w:rsidP="00647A6F">
      <w:pPr>
        <w:spacing w:after="180"/>
        <w:ind w:left="1080" w:hanging="720"/>
        <w:rPr>
          <w:rFonts w:eastAsia="Calibri"/>
          <w:b/>
          <w:bCs/>
        </w:rPr>
      </w:pPr>
      <w:r w:rsidRPr="00E01739">
        <w:rPr>
          <w:rFonts w:eastAsia="Calibri"/>
          <w:b/>
          <w:bCs/>
        </w:rPr>
        <w:t>New projects created through reallocation</w:t>
      </w:r>
      <w:r w:rsidR="006535D1">
        <w:rPr>
          <w:rFonts w:eastAsia="Calibri"/>
          <w:b/>
          <w:bCs/>
        </w:rPr>
        <w:t>–</w:t>
      </w:r>
      <w:r w:rsidR="006535D1" w:rsidRPr="00B42542">
        <w:rPr>
          <w:rFonts w:eastAsia="Calibri"/>
          <w:bCs/>
        </w:rPr>
        <w:t>Are not continuations of reallocated renewal project and therefore, will not have the same start date as the reallocated renewal project.</w:t>
      </w:r>
      <w:r w:rsidR="006535D1">
        <w:rPr>
          <w:rFonts w:eastAsia="Calibri"/>
          <w:bCs/>
        </w:rPr>
        <w:t xml:space="preserve"> Such projects u</w:t>
      </w:r>
      <w:r w:rsidR="006535D1" w:rsidRPr="00B42542">
        <w:rPr>
          <w:rFonts w:eastAsia="Calibri"/>
          <w:bCs/>
        </w:rPr>
        <w:t>sually cannot serve the same participants that currently reside in the reallocated renewal project</w:t>
      </w:r>
      <w:r w:rsidR="006535D1">
        <w:rPr>
          <w:rFonts w:eastAsia="Calibri"/>
          <w:bCs/>
        </w:rPr>
        <w:t>.</w:t>
      </w:r>
    </w:p>
    <w:p w:rsidR="00E8468F" w:rsidRPr="00B42542" w:rsidRDefault="00E8468F" w:rsidP="009E4637">
      <w:pPr>
        <w:spacing w:after="180"/>
        <w:ind w:left="1080" w:hanging="720"/>
        <w:rPr>
          <w:rFonts w:eastAsia="Calibri"/>
          <w:b/>
          <w:bCs/>
        </w:rPr>
      </w:pPr>
      <w:r w:rsidRPr="006535D1">
        <w:rPr>
          <w:rFonts w:eastAsia="Calibri"/>
          <w:b/>
          <w:bCs/>
        </w:rPr>
        <w:t>New Permanent Supportive Housing projects</w:t>
      </w:r>
      <w:r w:rsidRPr="00B42542">
        <w:rPr>
          <w:rFonts w:eastAsia="Calibri"/>
          <w:bCs/>
        </w:rPr>
        <w:t xml:space="preserve"> serving chronically homeless participants </w:t>
      </w:r>
      <w:r w:rsidR="006535D1">
        <w:rPr>
          <w:rFonts w:eastAsia="Calibri"/>
          <w:bCs/>
        </w:rPr>
        <w:t>may</w:t>
      </w:r>
      <w:r w:rsidR="006535D1" w:rsidRPr="00B42542">
        <w:rPr>
          <w:rFonts w:eastAsia="Calibri"/>
          <w:bCs/>
        </w:rPr>
        <w:t xml:space="preserve"> </w:t>
      </w:r>
      <w:r w:rsidRPr="00B42542">
        <w:rPr>
          <w:rFonts w:eastAsia="Calibri"/>
          <w:bCs/>
        </w:rPr>
        <w:t>only serve those who</w:t>
      </w:r>
      <w:r w:rsidR="00647A6F">
        <w:rPr>
          <w:rFonts w:eastAsia="Calibri"/>
          <w:bCs/>
        </w:rPr>
        <w:t xml:space="preserve"> come directly from the streets or</w:t>
      </w:r>
      <w:r w:rsidRPr="00B42542">
        <w:rPr>
          <w:rFonts w:eastAsia="Calibri"/>
          <w:bCs/>
        </w:rPr>
        <w:t xml:space="preserve"> other places not meant for human habitation, emergency shelters, or safe havens.  Participants who come from transitional housing projects are ineligible.</w:t>
      </w:r>
    </w:p>
    <w:p w:rsidR="00647A6F" w:rsidRDefault="00E8468F" w:rsidP="00647A6F">
      <w:pPr>
        <w:spacing w:after="180"/>
        <w:ind w:left="1080" w:hanging="720"/>
        <w:rPr>
          <w:rFonts w:eastAsia="Calibri"/>
          <w:bCs/>
        </w:rPr>
      </w:pPr>
      <w:r w:rsidRPr="006535D1">
        <w:rPr>
          <w:rFonts w:eastAsia="Calibri"/>
          <w:b/>
          <w:bCs/>
        </w:rPr>
        <w:t>New Rapid Re-housing projects</w:t>
      </w:r>
      <w:r w:rsidR="00647A6F">
        <w:rPr>
          <w:rFonts w:eastAsia="Calibri"/>
          <w:b/>
          <w:bCs/>
        </w:rPr>
        <w:t xml:space="preserve"> </w:t>
      </w:r>
      <w:r w:rsidR="006535D1" w:rsidRPr="00647A6F">
        <w:rPr>
          <w:rFonts w:eastAsia="Calibri"/>
          <w:bCs/>
        </w:rPr>
        <w:t>may</w:t>
      </w:r>
      <w:r w:rsidR="00A87DEC">
        <w:rPr>
          <w:rFonts w:eastAsia="Calibri"/>
          <w:bCs/>
        </w:rPr>
        <w:t xml:space="preserve"> </w:t>
      </w:r>
      <w:r w:rsidRPr="00B42542">
        <w:rPr>
          <w:rFonts w:eastAsia="Calibri"/>
          <w:bCs/>
        </w:rPr>
        <w:t>only serve those who come directly from the streets or emergency shelters</w:t>
      </w:r>
      <w:r w:rsidR="00647A6F">
        <w:rPr>
          <w:rFonts w:eastAsia="Calibri"/>
          <w:bCs/>
        </w:rPr>
        <w:t xml:space="preserve"> or who are fleeing domestic violence. </w:t>
      </w:r>
    </w:p>
    <w:p w:rsidR="00E8468F" w:rsidRPr="00B42542" w:rsidRDefault="00E8468F" w:rsidP="00647A6F">
      <w:pPr>
        <w:spacing w:after="180"/>
        <w:ind w:left="1080" w:hanging="720"/>
        <w:rPr>
          <w:rFonts w:eastAsia="Calibri"/>
          <w:b/>
          <w:bCs/>
        </w:rPr>
      </w:pPr>
      <w:r w:rsidRPr="00647A6F">
        <w:rPr>
          <w:rFonts w:eastAsia="Calibri"/>
          <w:b/>
          <w:bCs/>
        </w:rPr>
        <w:t>Participants fleeing domestic violence</w:t>
      </w:r>
      <w:r w:rsidR="004E7137">
        <w:rPr>
          <w:rFonts w:eastAsia="Calibri"/>
          <w:bCs/>
        </w:rPr>
        <w:t>, dating violence, sexual assault, stalking, or other dangerous or life threatening conditions that relate to violence against the individual or family member that makes them afraid to return to their primary nighttime residence (including victims of human trafficking)</w:t>
      </w:r>
      <w:r w:rsidRPr="00B42542">
        <w:rPr>
          <w:rFonts w:eastAsia="Calibri"/>
          <w:bCs/>
        </w:rPr>
        <w:t xml:space="preserve"> are eligible for both types of </w:t>
      </w:r>
      <w:r w:rsidR="00647A6F">
        <w:rPr>
          <w:rFonts w:eastAsia="Calibri"/>
          <w:bCs/>
        </w:rPr>
        <w:t xml:space="preserve">new </w:t>
      </w:r>
      <w:r w:rsidRPr="00B42542">
        <w:rPr>
          <w:rFonts w:eastAsia="Calibri"/>
          <w:bCs/>
        </w:rPr>
        <w:t xml:space="preserve">permanent housing projects so long as </w:t>
      </w:r>
      <w:r w:rsidR="004E7137">
        <w:rPr>
          <w:rFonts w:eastAsia="Calibri"/>
          <w:bCs/>
        </w:rPr>
        <w:t>meet the criteria established in paragraph (4) of the definition of homeless</w:t>
      </w:r>
      <w:r w:rsidRPr="00B42542">
        <w:rPr>
          <w:rFonts w:eastAsia="Calibri"/>
          <w:bCs/>
        </w:rPr>
        <w:t xml:space="preserve">. </w:t>
      </w:r>
    </w:p>
    <w:p w:rsidR="00E90071" w:rsidRPr="00B42542" w:rsidRDefault="003260C2" w:rsidP="009E4637">
      <w:pPr>
        <w:spacing w:after="180"/>
      </w:pPr>
      <w:r w:rsidRPr="00B42542">
        <w:rPr>
          <w:bCs/>
          <w:noProof/>
        </w:rPr>
        <mc:AlternateContent>
          <mc:Choice Requires="wps">
            <w:drawing>
              <wp:anchor distT="0" distB="0" distL="114300" distR="114300" simplePos="0" relativeHeight="251658240" behindDoc="0" locked="0" layoutInCell="1" allowOverlap="1" wp14:anchorId="79965D2B" wp14:editId="1881209A">
                <wp:simplePos x="0" y="0"/>
                <wp:positionH relativeFrom="column">
                  <wp:posOffset>13335</wp:posOffset>
                </wp:positionH>
                <wp:positionV relativeFrom="paragraph">
                  <wp:posOffset>86360</wp:posOffset>
                </wp:positionV>
                <wp:extent cx="6045200" cy="0"/>
                <wp:effectExtent l="13335" t="10160" r="8890" b="889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5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AA9B43" id="AutoShape 4" o:spid="_x0000_s1026" type="#_x0000_t32" style="position:absolute;margin-left:1.05pt;margin-top:6.8pt;width:47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xhg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"/>
            </w:pict>
          </mc:Fallback>
        </mc:AlternateContent>
      </w:r>
    </w:p>
    <w:p w:rsidR="006C14D4" w:rsidRPr="00B42542" w:rsidRDefault="00563048" w:rsidP="009E4637">
      <w:pPr>
        <w:pStyle w:val="Heading1"/>
        <w:spacing w:after="180"/>
      </w:pPr>
      <w:bookmarkStart w:id="9" w:name="_Toc451542997"/>
      <w:r w:rsidRPr="00B42542">
        <w:t>FY</w:t>
      </w:r>
      <w:r w:rsidR="00B837B7" w:rsidRPr="00B42542">
        <w:t xml:space="preserve"> </w:t>
      </w:r>
      <w:r w:rsidR="00F31F5D" w:rsidRPr="00B42542">
        <w:t>2015</w:t>
      </w:r>
      <w:r w:rsidR="004B6FE4" w:rsidRPr="00B42542">
        <w:t xml:space="preserve"> </w:t>
      </w:r>
      <w:r w:rsidR="00A844BF" w:rsidRPr="00B42542">
        <w:t>Point Structure</w:t>
      </w:r>
      <w:bookmarkEnd w:id="9"/>
    </w:p>
    <w:p w:rsidR="00C13E0A" w:rsidRPr="007F17E2" w:rsidRDefault="00C13E0A" w:rsidP="009E4637">
      <w:pPr>
        <w:spacing w:after="180"/>
        <w:rPr>
          <w:b/>
        </w:rPr>
      </w:pPr>
      <w:r w:rsidRPr="007F17E2">
        <w:rPr>
          <w:rFonts w:eastAsia="Calibri"/>
        </w:rPr>
        <w:t xml:space="preserve">For the </w:t>
      </w:r>
      <w:r w:rsidR="00563048" w:rsidRPr="007F17E2">
        <w:rPr>
          <w:rFonts w:eastAsia="Calibri"/>
        </w:rPr>
        <w:t>FY</w:t>
      </w:r>
      <w:r w:rsidR="007F17E2" w:rsidRPr="007F17E2">
        <w:rPr>
          <w:rFonts w:eastAsia="Calibri"/>
        </w:rPr>
        <w:t xml:space="preserve"> </w:t>
      </w:r>
      <w:r w:rsidR="00F31F5D" w:rsidRPr="007F17E2">
        <w:rPr>
          <w:rFonts w:eastAsia="Calibri"/>
        </w:rPr>
        <w:t>2015</w:t>
      </w:r>
      <w:r w:rsidR="004B6FE4" w:rsidRPr="007F17E2">
        <w:rPr>
          <w:rFonts w:eastAsia="Calibri"/>
        </w:rPr>
        <w:t xml:space="preserve"> </w:t>
      </w:r>
      <w:r w:rsidRPr="007F17E2">
        <w:rPr>
          <w:rFonts w:eastAsia="Calibri"/>
        </w:rPr>
        <w:t xml:space="preserve">CoC </w:t>
      </w:r>
      <w:r w:rsidR="003F1B96" w:rsidRPr="007F17E2">
        <w:rPr>
          <w:rFonts w:eastAsia="Calibri"/>
        </w:rPr>
        <w:t xml:space="preserve">Program </w:t>
      </w:r>
      <w:r w:rsidRPr="007F17E2">
        <w:rPr>
          <w:rFonts w:eastAsia="Calibri"/>
        </w:rPr>
        <w:t xml:space="preserve">Competition, HUD awarded up to </w:t>
      </w:r>
      <w:r w:rsidR="00B375AE" w:rsidRPr="007F17E2">
        <w:rPr>
          <w:rFonts w:eastAsia="Calibri"/>
        </w:rPr>
        <w:t xml:space="preserve">200 </w:t>
      </w:r>
      <w:r w:rsidRPr="007F17E2">
        <w:rPr>
          <w:rFonts w:eastAsia="Calibri"/>
        </w:rPr>
        <w:t>total poi</w:t>
      </w:r>
      <w:r w:rsidR="003F1B96" w:rsidRPr="007F17E2">
        <w:rPr>
          <w:rFonts w:eastAsia="Calibri"/>
        </w:rPr>
        <w:t xml:space="preserve">nts for all </w:t>
      </w:r>
      <w:r w:rsidRPr="007F17E2">
        <w:rPr>
          <w:rFonts w:eastAsia="Calibri"/>
        </w:rPr>
        <w:t xml:space="preserve">scoring categories: </w:t>
      </w:r>
      <w:r w:rsidR="00A87DEC">
        <w:rPr>
          <w:rFonts w:eastAsia="Calibri"/>
        </w:rPr>
        <w:t xml:space="preserve"> </w:t>
      </w:r>
      <w:r w:rsidR="00BB524A" w:rsidRPr="007F17E2">
        <w:rPr>
          <w:rFonts w:eastAsia="Calibri"/>
        </w:rPr>
        <w:t xml:space="preserve">CoC </w:t>
      </w:r>
      <w:r w:rsidR="00B375AE" w:rsidRPr="007F17E2">
        <w:rPr>
          <w:rFonts w:eastAsia="Calibri"/>
        </w:rPr>
        <w:t>Coordination and Engagement;</w:t>
      </w:r>
      <w:r w:rsidR="00BB524A" w:rsidRPr="007F17E2">
        <w:rPr>
          <w:rFonts w:eastAsia="Calibri"/>
        </w:rPr>
        <w:t xml:space="preserve"> </w:t>
      </w:r>
      <w:r w:rsidR="00B375AE" w:rsidRPr="007F17E2">
        <w:rPr>
          <w:rFonts w:eastAsia="Calibri"/>
        </w:rPr>
        <w:t>Project Ranking, Review, and Capacity;</w:t>
      </w:r>
      <w:r w:rsidR="00BB524A" w:rsidRPr="007F17E2">
        <w:rPr>
          <w:rFonts w:eastAsia="Calibri"/>
        </w:rPr>
        <w:t xml:space="preserve"> </w:t>
      </w:r>
      <w:r w:rsidR="00B375AE" w:rsidRPr="007F17E2">
        <w:rPr>
          <w:rFonts w:eastAsia="Calibri"/>
        </w:rPr>
        <w:t>Homeless Management Information System; Point-In-Time Count; System Performance; and Performance and Strategic Planning</w:t>
      </w:r>
      <w:r w:rsidR="00E04485" w:rsidRPr="007F17E2">
        <w:rPr>
          <w:rFonts w:eastAsia="Calibri"/>
        </w:rPr>
        <w:t xml:space="preserve">. </w:t>
      </w:r>
      <w:r w:rsidR="00A87DEC">
        <w:rPr>
          <w:rFonts w:eastAsia="Calibri"/>
        </w:rPr>
        <w:t xml:space="preserve"> </w:t>
      </w:r>
      <w:r w:rsidRPr="007F17E2">
        <w:t>A detailed explanati</w:t>
      </w:r>
      <w:r w:rsidR="00BB524A" w:rsidRPr="007F17E2">
        <w:t xml:space="preserve">on of each category is provided </w:t>
      </w:r>
      <w:r w:rsidRPr="007F17E2">
        <w:t xml:space="preserve">below to assist your </w:t>
      </w:r>
      <w:r w:rsidR="00A87DEC">
        <w:t>CoC</w:t>
      </w:r>
      <w:r w:rsidR="00A87DEC" w:rsidRPr="007F17E2">
        <w:t xml:space="preserve"> </w:t>
      </w:r>
      <w:r w:rsidRPr="007F17E2">
        <w:t>in its self-evaluation</w:t>
      </w:r>
      <w:r w:rsidR="00B375AE" w:rsidRPr="007F17E2">
        <w:t>.</w:t>
      </w:r>
    </w:p>
    <w:p w:rsidR="008E0FD1" w:rsidRPr="00B42542" w:rsidRDefault="008E0FD1" w:rsidP="009E4637">
      <w:pPr>
        <w:pStyle w:val="Heading2"/>
      </w:pPr>
      <w:r w:rsidRPr="00B42542">
        <w:t>Part I:</w:t>
      </w:r>
      <w:r w:rsidR="009F5998">
        <w:t xml:space="preserve"> </w:t>
      </w:r>
      <w:r w:rsidRPr="00B42542">
        <w:t xml:space="preserve"> CoC Coordination and Engagement–49 possible points</w:t>
      </w:r>
    </w:p>
    <w:p w:rsidR="008E0FD1" w:rsidRPr="00B42542" w:rsidRDefault="00647A6F" w:rsidP="009E4637">
      <w:pPr>
        <w:spacing w:after="180"/>
      </w:pPr>
      <w:r>
        <w:t>HUD required</w:t>
      </w:r>
      <w:r w:rsidR="008E0FD1" w:rsidRPr="00B42542">
        <w:t xml:space="preserve"> CoCs to demonstrate the existence of a coordinated, inclusive</w:t>
      </w:r>
      <w:r w:rsidR="00317061">
        <w:t>,</w:t>
      </w:r>
      <w:r w:rsidR="008E0FD1" w:rsidRPr="00B42542">
        <w:t xml:space="preserve"> and outcome-oriented community process</w:t>
      </w:r>
      <w:r w:rsidR="00887179">
        <w:t>, which</w:t>
      </w:r>
      <w:r w:rsidR="008E0FD1" w:rsidRPr="00B42542">
        <w:t xml:space="preserve"> included demonstrating a fair and impartial project review and selection process.</w:t>
      </w:r>
    </w:p>
    <w:p w:rsidR="008E0FD1" w:rsidRPr="00B42542" w:rsidRDefault="008E0FD1" w:rsidP="009E4637">
      <w:pPr>
        <w:spacing w:after="180"/>
      </w:pPr>
      <w:r w:rsidRPr="006535D1">
        <w:rPr>
          <w:b/>
        </w:rPr>
        <w:t>Coordination</w:t>
      </w:r>
      <w:r w:rsidR="00AA7C5C">
        <w:rPr>
          <w:b/>
        </w:rPr>
        <w:t>–</w:t>
      </w:r>
      <w:r w:rsidR="00AA7C5C">
        <w:t>CoCs were to describe</w:t>
      </w:r>
      <w:r w:rsidR="00AA7C5C" w:rsidRPr="00B42542">
        <w:t>:</w:t>
      </w:r>
    </w:p>
    <w:p w:rsidR="008E0FD1" w:rsidRPr="00B42542" w:rsidRDefault="008E0FD1" w:rsidP="00D17C08">
      <w:pPr>
        <w:pStyle w:val="ListParagraph"/>
        <w:numPr>
          <w:ilvl w:val="0"/>
          <w:numId w:val="16"/>
        </w:numPr>
        <w:spacing w:after="180" w:line="259" w:lineRule="auto"/>
        <w:contextualSpacing w:val="0"/>
      </w:pPr>
      <w:r w:rsidRPr="00B42542">
        <w:t>Coordination with Federal, state, local, private and other entities;</w:t>
      </w:r>
    </w:p>
    <w:p w:rsidR="008E0FD1" w:rsidRPr="00B42542" w:rsidRDefault="008E0FD1" w:rsidP="00D17C08">
      <w:pPr>
        <w:pStyle w:val="ListParagraph"/>
        <w:numPr>
          <w:ilvl w:val="0"/>
          <w:numId w:val="16"/>
        </w:numPr>
        <w:spacing w:after="180" w:line="259" w:lineRule="auto"/>
        <w:contextualSpacing w:val="0"/>
      </w:pPr>
      <w:r w:rsidRPr="00B42542">
        <w:t>Participation with C</w:t>
      </w:r>
      <w:r w:rsidR="00647A6F">
        <w:t>onsolidated Plan Jurisdictions</w:t>
      </w:r>
      <w:r w:rsidRPr="00B42542">
        <w:t>;</w:t>
      </w:r>
    </w:p>
    <w:p w:rsidR="008E0FD1" w:rsidRPr="00B42542" w:rsidRDefault="008E0FD1" w:rsidP="00D17C08">
      <w:pPr>
        <w:pStyle w:val="ListParagraph"/>
        <w:numPr>
          <w:ilvl w:val="0"/>
          <w:numId w:val="16"/>
        </w:numPr>
        <w:spacing w:after="180" w:line="259" w:lineRule="auto"/>
        <w:contextualSpacing w:val="0"/>
      </w:pPr>
      <w:r w:rsidRPr="00B42542">
        <w:t>How they work with Emergency Solutions Grant (ESG) recipients;</w:t>
      </w:r>
    </w:p>
    <w:p w:rsidR="008E0FD1" w:rsidRPr="00B42542" w:rsidRDefault="008E0FD1" w:rsidP="00D17C08">
      <w:pPr>
        <w:pStyle w:val="ListParagraph"/>
        <w:numPr>
          <w:ilvl w:val="0"/>
          <w:numId w:val="16"/>
        </w:numPr>
        <w:spacing w:after="180" w:line="259" w:lineRule="auto"/>
        <w:contextualSpacing w:val="0"/>
      </w:pPr>
      <w:r w:rsidRPr="00B42542">
        <w:t>How they coordinate services for victims of domestic violence;</w:t>
      </w:r>
    </w:p>
    <w:p w:rsidR="008E0FD1" w:rsidRPr="00B42542" w:rsidRDefault="008E0FD1" w:rsidP="00D17C08">
      <w:pPr>
        <w:pStyle w:val="ListParagraph"/>
        <w:numPr>
          <w:ilvl w:val="0"/>
          <w:numId w:val="16"/>
        </w:numPr>
        <w:spacing w:after="180" w:line="259" w:lineRule="auto"/>
        <w:contextualSpacing w:val="0"/>
      </w:pPr>
      <w:r w:rsidRPr="00B42542">
        <w:t xml:space="preserve">Coordination with Public Housing Agencies; and </w:t>
      </w:r>
    </w:p>
    <w:p w:rsidR="008E0FD1" w:rsidRPr="00B42542" w:rsidRDefault="008E0FD1" w:rsidP="00D17C08">
      <w:pPr>
        <w:pStyle w:val="ListParagraph"/>
        <w:numPr>
          <w:ilvl w:val="0"/>
          <w:numId w:val="16"/>
        </w:numPr>
        <w:spacing w:after="180" w:line="259" w:lineRule="auto"/>
        <w:contextualSpacing w:val="0"/>
      </w:pPr>
      <w:r w:rsidRPr="00B42542">
        <w:t>Strategies to ensure homelessness is not criminalized.</w:t>
      </w:r>
    </w:p>
    <w:p w:rsidR="002C0E9C" w:rsidRPr="002C0E9C" w:rsidRDefault="002C0E9C" w:rsidP="009E4637">
      <w:pPr>
        <w:spacing w:after="180"/>
        <w:rPr>
          <w:b/>
        </w:rPr>
      </w:pPr>
      <w:r w:rsidRPr="002C0E9C">
        <w:rPr>
          <w:b/>
        </w:rPr>
        <w:t>Important Points to Consider</w:t>
      </w:r>
    </w:p>
    <w:p w:rsidR="008E0FD1" w:rsidRPr="00B42542" w:rsidRDefault="008E0FD1" w:rsidP="00D17C08">
      <w:pPr>
        <w:pStyle w:val="ListParagraph"/>
        <w:numPr>
          <w:ilvl w:val="2"/>
          <w:numId w:val="4"/>
        </w:numPr>
        <w:spacing w:after="180"/>
        <w:ind w:left="720"/>
        <w:contextualSpacing w:val="0"/>
      </w:pPr>
      <w:r w:rsidRPr="00B42542">
        <w:t xml:space="preserve">CoCs </w:t>
      </w:r>
      <w:r w:rsidR="00317061">
        <w:t xml:space="preserve">generally </w:t>
      </w:r>
      <w:r w:rsidRPr="00B42542">
        <w:t xml:space="preserve">scored </w:t>
      </w:r>
      <w:r w:rsidR="00317061">
        <w:t>well</w:t>
      </w:r>
      <w:r w:rsidR="00317061" w:rsidRPr="00B42542">
        <w:t xml:space="preserve"> </w:t>
      </w:r>
      <w:r w:rsidRPr="00B42542">
        <w:t xml:space="preserve">on their responses to describing how they work with ESG recipients to determine the local ESG funding decisions and assist with </w:t>
      </w:r>
      <w:r w:rsidR="00317061">
        <w:t xml:space="preserve">the </w:t>
      </w:r>
      <w:r w:rsidRPr="00B42542">
        <w:t>development of performance standards and evaluate outcome for ESG-funded activities.</w:t>
      </w:r>
    </w:p>
    <w:p w:rsidR="008E0FD1" w:rsidRPr="00B42542" w:rsidRDefault="00317061" w:rsidP="00D17C08">
      <w:pPr>
        <w:pStyle w:val="ListParagraph"/>
        <w:numPr>
          <w:ilvl w:val="2"/>
          <w:numId w:val="4"/>
        </w:numPr>
        <w:spacing w:after="180"/>
        <w:ind w:left="720"/>
        <w:contextualSpacing w:val="0"/>
      </w:pPr>
      <w:r w:rsidDel="00A87DEC">
        <w:t>Many CoCs lost points because they did not have a strong partnership with their PHAs.</w:t>
      </w:r>
      <w:r w:rsidR="007F17E2" w:rsidDel="00A87DEC">
        <w:t xml:space="preserve"> </w:t>
      </w:r>
      <w:r w:rsidDel="00A87DEC">
        <w:t xml:space="preserve"> </w:t>
      </w:r>
      <w:r w:rsidR="00855F66">
        <w:t xml:space="preserve">Many </w:t>
      </w:r>
      <w:r w:rsidDel="00A87DEC">
        <w:t xml:space="preserve">CoCs would have improved their scores if their PHAs were accepting more people experiencing homelessness into housing programs and if their PHAs had homelessness preferences. </w:t>
      </w:r>
    </w:p>
    <w:p w:rsidR="008E0FD1" w:rsidRPr="00647A6F" w:rsidRDefault="008E0FD1" w:rsidP="009E4637">
      <w:pPr>
        <w:spacing w:after="180"/>
        <w:rPr>
          <w:b/>
        </w:rPr>
      </w:pPr>
      <w:r w:rsidRPr="006535D1">
        <w:rPr>
          <w:b/>
        </w:rPr>
        <w:t>Engagement</w:t>
      </w:r>
      <w:r w:rsidR="00A87DEC">
        <w:rPr>
          <w:b/>
        </w:rPr>
        <w:t>–</w:t>
      </w:r>
      <w:r w:rsidR="00A87DEC" w:rsidRPr="00B42542">
        <w:t xml:space="preserve">CoCs were to </w:t>
      </w:r>
      <w:r w:rsidR="00855F66">
        <w:t>describe</w:t>
      </w:r>
      <w:r w:rsidR="00A87DEC" w:rsidRPr="00B42542">
        <w:t xml:space="preserve"> how they:</w:t>
      </w:r>
    </w:p>
    <w:p w:rsidR="008E0FD1" w:rsidRPr="00B42542" w:rsidRDefault="008E0FD1" w:rsidP="00D17C08">
      <w:pPr>
        <w:pStyle w:val="ListParagraph"/>
        <w:numPr>
          <w:ilvl w:val="0"/>
          <w:numId w:val="17"/>
        </w:numPr>
        <w:spacing w:after="180" w:line="259" w:lineRule="auto"/>
        <w:contextualSpacing w:val="0"/>
      </w:pPr>
      <w:r w:rsidRPr="00B42542">
        <w:t>Solicited and considered a full range of opinions and were open to new proposals;</w:t>
      </w:r>
    </w:p>
    <w:p w:rsidR="008E0FD1" w:rsidRPr="00B42542" w:rsidRDefault="008E0FD1" w:rsidP="00D17C08">
      <w:pPr>
        <w:pStyle w:val="ListParagraph"/>
        <w:numPr>
          <w:ilvl w:val="0"/>
          <w:numId w:val="17"/>
        </w:numPr>
        <w:spacing w:after="180" w:line="259" w:lineRule="auto"/>
        <w:contextualSpacing w:val="0"/>
      </w:pPr>
      <w:r w:rsidRPr="00B42542">
        <w:t>Coordinated with Consolidated Plan jurisdictions and Emergency Solutions Grant funded program</w:t>
      </w:r>
      <w:r w:rsidR="00855F66">
        <w:t>s</w:t>
      </w:r>
      <w:r w:rsidRPr="00B42542">
        <w:t>;</w:t>
      </w:r>
    </w:p>
    <w:p w:rsidR="008E0FD1" w:rsidRPr="00B42542" w:rsidRDefault="008E0FD1" w:rsidP="00D17C08">
      <w:pPr>
        <w:pStyle w:val="ListParagraph"/>
        <w:numPr>
          <w:ilvl w:val="0"/>
          <w:numId w:val="17"/>
        </w:numPr>
        <w:spacing w:after="180" w:line="259" w:lineRule="auto"/>
        <w:contextualSpacing w:val="0"/>
      </w:pPr>
      <w:r w:rsidRPr="00B42542">
        <w:t>Coordinated discharge planning;</w:t>
      </w:r>
    </w:p>
    <w:p w:rsidR="008E0FD1" w:rsidRPr="00B42542" w:rsidRDefault="008E0FD1" w:rsidP="00D17C08">
      <w:pPr>
        <w:pStyle w:val="ListParagraph"/>
        <w:numPr>
          <w:ilvl w:val="0"/>
          <w:numId w:val="17"/>
        </w:numPr>
        <w:spacing w:after="180" w:line="259" w:lineRule="auto"/>
        <w:contextualSpacing w:val="0"/>
      </w:pPr>
      <w:r w:rsidRPr="00B42542">
        <w:t xml:space="preserve">Utilized their Centralized or Coordinated Entry process; </w:t>
      </w:r>
    </w:p>
    <w:p w:rsidR="008E0FD1" w:rsidRPr="00B42542" w:rsidRDefault="008E0FD1" w:rsidP="00D17C08">
      <w:pPr>
        <w:pStyle w:val="ListParagraph"/>
        <w:numPr>
          <w:ilvl w:val="0"/>
          <w:numId w:val="17"/>
        </w:numPr>
        <w:spacing w:after="180" w:line="259" w:lineRule="auto"/>
        <w:contextualSpacing w:val="0"/>
      </w:pPr>
      <w:r w:rsidRPr="00B42542">
        <w:t>Reviewed, ranked and select</w:t>
      </w:r>
      <w:r w:rsidR="00317061">
        <w:t>ed</w:t>
      </w:r>
      <w:r w:rsidRPr="00B42542">
        <w:t xml:space="preserve"> projects </w:t>
      </w:r>
      <w:r w:rsidR="00317061">
        <w:t xml:space="preserve">in a manner </w:t>
      </w:r>
      <w:r w:rsidRPr="00B42542">
        <w:t>that was transparent, impartial</w:t>
      </w:r>
      <w:r w:rsidR="00317061">
        <w:t>,</w:t>
      </w:r>
      <w:r w:rsidRPr="00B42542">
        <w:t xml:space="preserve"> and addressed the needs of the community; and </w:t>
      </w:r>
    </w:p>
    <w:p w:rsidR="008E0FD1" w:rsidRPr="00B42542" w:rsidRDefault="008E0FD1" w:rsidP="00D17C08">
      <w:pPr>
        <w:pStyle w:val="ListParagraph"/>
        <w:numPr>
          <w:ilvl w:val="0"/>
          <w:numId w:val="17"/>
        </w:numPr>
        <w:spacing w:after="180" w:line="259" w:lineRule="auto"/>
        <w:contextualSpacing w:val="0"/>
      </w:pPr>
      <w:r w:rsidRPr="00B42542">
        <w:t>Monitor</w:t>
      </w:r>
      <w:r w:rsidR="00317061">
        <w:t>ed</w:t>
      </w:r>
      <w:r w:rsidRPr="00B42542">
        <w:t xml:space="preserve"> the performance of CoC Program recipients.</w:t>
      </w:r>
    </w:p>
    <w:p w:rsidR="002C0E9C" w:rsidRPr="002C0E9C" w:rsidRDefault="002C0E9C" w:rsidP="009E4637">
      <w:pPr>
        <w:spacing w:after="180"/>
        <w:rPr>
          <w:b/>
        </w:rPr>
      </w:pPr>
      <w:r>
        <w:rPr>
          <w:b/>
        </w:rPr>
        <w:t>Important Point to Consider</w:t>
      </w:r>
    </w:p>
    <w:p w:rsidR="008E0FD1" w:rsidRDefault="008E0FD1" w:rsidP="00D17C08">
      <w:pPr>
        <w:pStyle w:val="ListParagraph"/>
        <w:numPr>
          <w:ilvl w:val="0"/>
          <w:numId w:val="19"/>
        </w:numPr>
        <w:spacing w:after="180"/>
        <w:contextualSpacing w:val="0"/>
      </w:pPr>
      <w:r w:rsidRPr="00B42542">
        <w:t xml:space="preserve">CoCs scored </w:t>
      </w:r>
      <w:r w:rsidR="00317061">
        <w:t>well</w:t>
      </w:r>
      <w:r w:rsidR="00317061" w:rsidRPr="00B42542">
        <w:t xml:space="preserve"> </w:t>
      </w:r>
      <w:r w:rsidRPr="00B42542">
        <w:t>on providing a detailed description of how they solicit a full range of opinions from individuals and organizations with knowledge of homelessness or have an interest in preventing and ending homelessness.</w:t>
      </w:r>
    </w:p>
    <w:p w:rsidR="008E0FD1" w:rsidRPr="009F5998" w:rsidRDefault="008E0FD1" w:rsidP="009E4637">
      <w:pPr>
        <w:pStyle w:val="Heading2"/>
      </w:pPr>
      <w:r w:rsidRPr="009F5998">
        <w:t xml:space="preserve">Part II: </w:t>
      </w:r>
      <w:r w:rsidR="009F5998">
        <w:t xml:space="preserve"> </w:t>
      </w:r>
      <w:r w:rsidRPr="009F5998">
        <w:t>Project Ranking, Review, and Capacity–26 possible points</w:t>
      </w:r>
    </w:p>
    <w:p w:rsidR="008E0FD1" w:rsidRPr="00B42542" w:rsidRDefault="00A87DEC" w:rsidP="009E4637">
      <w:pPr>
        <w:spacing w:after="180"/>
      </w:pPr>
      <w:r>
        <w:t xml:space="preserve">HUD required </w:t>
      </w:r>
      <w:r w:rsidR="008E0FD1" w:rsidRPr="00B42542">
        <w:t>CoCs to demonstrate the existence of a coordinated, inclusive, outcome-oriented community process for solicit</w:t>
      </w:r>
      <w:r w:rsidR="00317061">
        <w:t>ing</w:t>
      </w:r>
      <w:r w:rsidR="0088764B">
        <w:t xml:space="preserve"> and</w:t>
      </w:r>
      <w:r w:rsidR="008E0FD1" w:rsidRPr="00B42542">
        <w:t xml:space="preserve"> objective</w:t>
      </w:r>
      <w:r w:rsidR="00317061">
        <w:t>ly</w:t>
      </w:r>
      <w:r w:rsidR="008E0FD1" w:rsidRPr="00B42542">
        <w:t xml:space="preserve"> review</w:t>
      </w:r>
      <w:r w:rsidR="0088764B">
        <w:t>ing</w:t>
      </w:r>
      <w:r w:rsidR="008E0FD1" w:rsidRPr="00B42542">
        <w:t>, ranking</w:t>
      </w:r>
      <w:r w:rsidR="0088764B">
        <w:t>,</w:t>
      </w:r>
      <w:r w:rsidR="008E0FD1" w:rsidRPr="00B42542">
        <w:t xml:space="preserve"> and selecti</w:t>
      </w:r>
      <w:r w:rsidR="0088764B">
        <w:t>ng</w:t>
      </w:r>
      <w:r w:rsidR="008E0FD1" w:rsidRPr="00B42542">
        <w:t xml:space="preserve"> project applications</w:t>
      </w:r>
      <w:r w:rsidR="00BF1296">
        <w:t xml:space="preserve"> and to </w:t>
      </w:r>
      <w:r w:rsidR="00BF1296" w:rsidRPr="00B42542">
        <w:t>demonstrate their ability to monitor the project performance of grants and the capacity of recipients</w:t>
      </w:r>
      <w:r w:rsidR="00BF1296">
        <w:t>.</w:t>
      </w:r>
    </w:p>
    <w:p w:rsidR="008E0FD1" w:rsidRPr="00B42542" w:rsidRDefault="008E0FD1" w:rsidP="009E4637">
      <w:pPr>
        <w:spacing w:after="180"/>
      </w:pPr>
      <w:r w:rsidRPr="006535D1">
        <w:rPr>
          <w:b/>
        </w:rPr>
        <w:t>Project Ranking, Review and Selection</w:t>
      </w:r>
      <w:r w:rsidR="00BF1296">
        <w:rPr>
          <w:b/>
        </w:rPr>
        <w:t>–</w:t>
      </w:r>
      <w:r w:rsidR="00BF1296" w:rsidRPr="00BF1296">
        <w:t>Applicants were required to</w:t>
      </w:r>
    </w:p>
    <w:p w:rsidR="008E0FD1" w:rsidRPr="00B42542" w:rsidRDefault="008E0FD1" w:rsidP="00D17C08">
      <w:pPr>
        <w:pStyle w:val="ListParagraph"/>
        <w:numPr>
          <w:ilvl w:val="0"/>
          <w:numId w:val="18"/>
        </w:numPr>
        <w:spacing w:after="180"/>
        <w:ind w:left="778"/>
        <w:contextualSpacing w:val="0"/>
      </w:pPr>
      <w:r w:rsidRPr="00B42542">
        <w:t xml:space="preserve">Submit the number of renewal project applications and </w:t>
      </w:r>
      <w:r w:rsidR="00BF1296">
        <w:t>indicate</w:t>
      </w:r>
      <w:r w:rsidR="00BF1296" w:rsidRPr="00B42542">
        <w:t xml:space="preserve"> </w:t>
      </w:r>
      <w:r w:rsidRPr="00B42542">
        <w:t>how many Annual Performance Reports</w:t>
      </w:r>
      <w:r w:rsidR="00BF1296">
        <w:t xml:space="preserve"> they reviewed</w:t>
      </w:r>
      <w:r w:rsidRPr="00B42542">
        <w:t>;</w:t>
      </w:r>
    </w:p>
    <w:p w:rsidR="008E0FD1" w:rsidRPr="00B42542" w:rsidRDefault="008E0FD1" w:rsidP="00D17C08">
      <w:pPr>
        <w:pStyle w:val="ListParagraph"/>
        <w:numPr>
          <w:ilvl w:val="0"/>
          <w:numId w:val="18"/>
        </w:numPr>
        <w:spacing w:after="180"/>
        <w:ind w:left="778"/>
        <w:contextualSpacing w:val="0"/>
      </w:pPr>
      <w:r w:rsidRPr="00B42542">
        <w:t>Describe how project applications were reviewed, ranked</w:t>
      </w:r>
      <w:r w:rsidR="0088764B">
        <w:t>,</w:t>
      </w:r>
      <w:r w:rsidRPr="00B42542">
        <w:t xml:space="preserve"> and selected; </w:t>
      </w:r>
    </w:p>
    <w:p w:rsidR="008E0FD1" w:rsidRPr="00B42542" w:rsidRDefault="008E0FD1" w:rsidP="00D17C08">
      <w:pPr>
        <w:pStyle w:val="ListParagraph"/>
        <w:numPr>
          <w:ilvl w:val="0"/>
          <w:numId w:val="18"/>
        </w:numPr>
        <w:spacing w:after="180"/>
        <w:ind w:left="778"/>
        <w:contextualSpacing w:val="0"/>
      </w:pPr>
      <w:r w:rsidRPr="00B42542">
        <w:t xml:space="preserve">Attach written, dated evidence that clearly showed </w:t>
      </w:r>
      <w:r w:rsidR="00855F66">
        <w:t xml:space="preserve">that </w:t>
      </w:r>
      <w:r w:rsidRPr="00B42542">
        <w:t>information about the process was made available through public postings;</w:t>
      </w:r>
    </w:p>
    <w:p w:rsidR="008E0FD1" w:rsidRPr="00B42542" w:rsidRDefault="0088764B" w:rsidP="00D17C08">
      <w:pPr>
        <w:pStyle w:val="ListParagraph"/>
        <w:numPr>
          <w:ilvl w:val="0"/>
          <w:numId w:val="18"/>
        </w:numPr>
        <w:spacing w:after="180"/>
        <w:ind w:left="778"/>
        <w:contextualSpacing w:val="0"/>
      </w:pPr>
      <w:r>
        <w:t>Describe h</w:t>
      </w:r>
      <w:r w:rsidR="008E0FD1" w:rsidRPr="00B42542">
        <w:t xml:space="preserve">ow the severity of needs and vulnerabilities were considered in determining the project application priority; </w:t>
      </w:r>
    </w:p>
    <w:p w:rsidR="008E0FD1" w:rsidRPr="00B42542" w:rsidRDefault="008E0FD1" w:rsidP="00D17C08">
      <w:pPr>
        <w:pStyle w:val="ListParagraph"/>
        <w:numPr>
          <w:ilvl w:val="0"/>
          <w:numId w:val="18"/>
        </w:numPr>
        <w:spacing w:after="180"/>
        <w:ind w:left="778"/>
        <w:contextualSpacing w:val="0"/>
      </w:pPr>
      <w:r w:rsidRPr="00B42542">
        <w:t>Indicate if the CoC used the reallocation process and if so, attach written documentation that this process was publicly posted;</w:t>
      </w:r>
    </w:p>
    <w:p w:rsidR="008E0FD1" w:rsidRPr="00B42542" w:rsidRDefault="008E0FD1" w:rsidP="00D17C08">
      <w:pPr>
        <w:pStyle w:val="ListParagraph"/>
        <w:numPr>
          <w:ilvl w:val="0"/>
          <w:numId w:val="18"/>
        </w:numPr>
        <w:spacing w:after="180"/>
        <w:ind w:left="778"/>
        <w:contextualSpacing w:val="0"/>
      </w:pPr>
      <w:r w:rsidRPr="00B42542">
        <w:t>Indicate if project applications were rejected</w:t>
      </w:r>
      <w:r w:rsidR="0088764B">
        <w:t>,</w:t>
      </w:r>
      <w:r w:rsidRPr="00B42542">
        <w:t xml:space="preserve"> and if so, attach written documentation that the rejected applicants were notified and the rejections were publicly posted; and </w:t>
      </w:r>
    </w:p>
    <w:p w:rsidR="008E0FD1" w:rsidRPr="00B42542" w:rsidRDefault="008E0FD1" w:rsidP="00D17C08">
      <w:pPr>
        <w:pStyle w:val="ListParagraph"/>
        <w:numPr>
          <w:ilvl w:val="0"/>
          <w:numId w:val="18"/>
        </w:numPr>
        <w:spacing w:after="180"/>
        <w:ind w:left="778"/>
        <w:contextualSpacing w:val="0"/>
      </w:pPr>
      <w:r w:rsidRPr="00B42542">
        <w:t>Identify if the Annual Renewal Demand (ARD) was equal to or less than the final ARD on the final HUD-approved GIW</w:t>
      </w:r>
      <w:r w:rsidR="0088764B">
        <w:t>.</w:t>
      </w:r>
    </w:p>
    <w:p w:rsidR="002C0E9C" w:rsidRPr="002C0E9C" w:rsidRDefault="002C0E9C" w:rsidP="009E4637">
      <w:pPr>
        <w:spacing w:after="180"/>
        <w:rPr>
          <w:b/>
        </w:rPr>
      </w:pPr>
      <w:r>
        <w:rPr>
          <w:b/>
        </w:rPr>
        <w:t>Important Points to Consider</w:t>
      </w:r>
    </w:p>
    <w:p w:rsidR="008E0FD1" w:rsidRPr="00B42542" w:rsidRDefault="00BD73BC" w:rsidP="009E4637">
      <w:pPr>
        <w:spacing w:after="180"/>
      </w:pPr>
      <w:r w:rsidRPr="00BD73BC">
        <w:rPr>
          <w:b/>
        </w:rPr>
        <w:t>Public Availability–</w:t>
      </w:r>
      <w:r w:rsidR="008E0FD1" w:rsidRPr="00B42542">
        <w:t xml:space="preserve">The majority of CoCs scored </w:t>
      </w:r>
      <w:r w:rsidR="002C0E9C">
        <w:t>well</w:t>
      </w:r>
      <w:r w:rsidR="002C0E9C" w:rsidRPr="00B42542">
        <w:t xml:space="preserve"> </w:t>
      </w:r>
      <w:r w:rsidR="008E0FD1" w:rsidRPr="00B42542">
        <w:t>on making the local competition review, ranking</w:t>
      </w:r>
      <w:r w:rsidR="00855F66">
        <w:t>,</w:t>
      </w:r>
      <w:r w:rsidR="008E0FD1" w:rsidRPr="00B42542">
        <w:t xml:space="preserve"> and selection criteria publicly available and identifying the mediums they used.</w:t>
      </w:r>
    </w:p>
    <w:p w:rsidR="00BD73BC" w:rsidRDefault="00CA3389" w:rsidP="009E4637">
      <w:pPr>
        <w:spacing w:after="180"/>
      </w:pPr>
      <w:r w:rsidRPr="00CA3389">
        <w:rPr>
          <w:b/>
        </w:rPr>
        <w:t>Severity of Need</w:t>
      </w:r>
      <w:r w:rsidR="00BD73BC">
        <w:rPr>
          <w:b/>
        </w:rPr>
        <w:t>–</w:t>
      </w:r>
      <w:r w:rsidR="00BD73BC" w:rsidRPr="00B42542">
        <w:t xml:space="preserve">CoCs scored in the moderate to low range when addressing the severity of needs and vulnerabilities.  When considering the severity of needs, over half of the responses did not specifically identify the needs and vulnerabilities of populations the CoCs take into account, or did not indicate that projects </w:t>
      </w:r>
      <w:r w:rsidR="00855F66">
        <w:t>that</w:t>
      </w:r>
      <w:r w:rsidR="00BD73BC" w:rsidRPr="00B42542">
        <w:t xml:space="preserve"> serve these populations receive additional consideration in the review</w:t>
      </w:r>
      <w:r w:rsidR="00BD73BC">
        <w:t>,</w:t>
      </w:r>
      <w:r w:rsidR="00BD73BC" w:rsidRPr="00B42542">
        <w:t xml:space="preserve"> ranking</w:t>
      </w:r>
      <w:r w:rsidR="00BD73BC">
        <w:t>,</w:t>
      </w:r>
      <w:r w:rsidR="00BD73BC" w:rsidRPr="00B42542">
        <w:t xml:space="preserve"> and selection process.  </w:t>
      </w:r>
      <w:r w:rsidR="00855F66">
        <w:t xml:space="preserve">Lower scores were the result of failing to do the following: </w:t>
      </w:r>
    </w:p>
    <w:p w:rsidR="00C17476" w:rsidRDefault="008E0FD1" w:rsidP="00855F66">
      <w:pPr>
        <w:pStyle w:val="ListParagraph"/>
        <w:numPr>
          <w:ilvl w:val="0"/>
          <w:numId w:val="20"/>
        </w:numPr>
        <w:spacing w:after="180"/>
        <w:ind w:left="1080"/>
        <w:contextualSpacing w:val="0"/>
      </w:pPr>
      <w:r w:rsidRPr="00B42542">
        <w:t>p</w:t>
      </w:r>
      <w:r w:rsidR="00855F66">
        <w:t>rovide</w:t>
      </w:r>
      <w:r w:rsidRPr="00B42542">
        <w:t xml:space="preserve"> detailed examples of how the CoC factored a project population into the review, ranking</w:t>
      </w:r>
      <w:r w:rsidR="0088764B">
        <w:t>,</w:t>
      </w:r>
      <w:r w:rsidRPr="00B42542">
        <w:t xml:space="preserve"> and selection process</w:t>
      </w:r>
      <w:r w:rsidR="00C17476">
        <w:t>;</w:t>
      </w:r>
    </w:p>
    <w:p w:rsidR="00C17476" w:rsidRDefault="008E0FD1" w:rsidP="00855F66">
      <w:pPr>
        <w:pStyle w:val="ListParagraph"/>
        <w:numPr>
          <w:ilvl w:val="0"/>
          <w:numId w:val="20"/>
        </w:numPr>
        <w:spacing w:after="180"/>
        <w:ind w:left="1080"/>
        <w:contextualSpacing w:val="0"/>
      </w:pPr>
      <w:r w:rsidRPr="00B42542">
        <w:t>specifically identify</w:t>
      </w:r>
      <w:r w:rsidR="00C17476">
        <w:t>ing</w:t>
      </w:r>
      <w:r w:rsidRPr="00B42542">
        <w:t xml:space="preserve"> the needs and vulnerabilities of the populations the CoCs take into account; or </w:t>
      </w:r>
    </w:p>
    <w:p w:rsidR="008E0FD1" w:rsidRPr="00B42542" w:rsidRDefault="008E0FD1" w:rsidP="00D17C08">
      <w:pPr>
        <w:pStyle w:val="ListParagraph"/>
        <w:numPr>
          <w:ilvl w:val="0"/>
          <w:numId w:val="20"/>
        </w:numPr>
        <w:spacing w:after="180"/>
        <w:ind w:left="1080"/>
        <w:contextualSpacing w:val="0"/>
      </w:pPr>
      <w:r w:rsidRPr="00B42542">
        <w:t>indicat</w:t>
      </w:r>
      <w:r w:rsidR="00C17476">
        <w:t>ing</w:t>
      </w:r>
      <w:r w:rsidRPr="00B42542">
        <w:t xml:space="preserve"> projects </w:t>
      </w:r>
      <w:r w:rsidR="00855F66">
        <w:t>that</w:t>
      </w:r>
      <w:r w:rsidRPr="00B42542">
        <w:t xml:space="preserve"> served these populations received additional consideration in the review, ranking and selection process.</w:t>
      </w:r>
    </w:p>
    <w:p w:rsidR="00855F66" w:rsidRDefault="00CA3389" w:rsidP="009E4637">
      <w:pPr>
        <w:pStyle w:val="Heading2"/>
        <w:rPr>
          <w:b w:val="0"/>
        </w:rPr>
      </w:pPr>
      <w:r w:rsidRPr="00CA3389">
        <w:t>Public Posting of CoC Consolidated Application</w:t>
      </w:r>
      <w:r w:rsidR="00BD73BC">
        <w:t>–</w:t>
      </w:r>
      <w:r w:rsidR="00BD73BC" w:rsidRPr="00BD73BC">
        <w:t xml:space="preserve"> </w:t>
      </w:r>
      <w:r w:rsidR="00BD73BC" w:rsidRPr="00855F66">
        <w:rPr>
          <w:b w:val="0"/>
        </w:rPr>
        <w:t xml:space="preserve">HUD required CoCs to provide evidence that they publicly posted all parts of the CoC Consolidated Application–this included the final project application ranking and notification to the full CoC membership.  The majority of CoCs scored poorly on this question because they did not provide all documentation that HUD required or the information was not provided within the HUD-established deadline.  </w:t>
      </w:r>
    </w:p>
    <w:p w:rsidR="00855F66" w:rsidRDefault="00CA3389" w:rsidP="009E4637">
      <w:pPr>
        <w:pStyle w:val="Heading2"/>
      </w:pPr>
      <w:r w:rsidRPr="00855F66">
        <w:rPr>
          <w:b w:val="0"/>
        </w:rPr>
        <w:t>Monitoring Performance</w:t>
      </w:r>
      <w:r w:rsidR="00BD73BC" w:rsidRPr="00855F66">
        <w:rPr>
          <w:b w:val="0"/>
        </w:rPr>
        <w:t>–The majority of CoCs scored in the mid-range for monitoring performance of CoC program recipients.  This included providing the process and criteria for monitoring project performance as well as how they assess the capacity of the project to implement program requirements.</w:t>
      </w:r>
      <w:r w:rsidR="00BD73BC" w:rsidRPr="00B42542">
        <w:t xml:space="preserve">  </w:t>
      </w:r>
    </w:p>
    <w:p w:rsidR="008E0FD1" w:rsidRPr="009F5998" w:rsidRDefault="008E0FD1" w:rsidP="009E4637">
      <w:pPr>
        <w:pStyle w:val="Heading2"/>
      </w:pPr>
      <w:r w:rsidRPr="009F5998">
        <w:t>Part III: Homeless Management Information System–18 possible points</w:t>
      </w:r>
    </w:p>
    <w:p w:rsidR="00CA3389" w:rsidRPr="00B42542" w:rsidRDefault="00CA3389" w:rsidP="009E4637">
      <w:pPr>
        <w:spacing w:after="180"/>
      </w:pPr>
      <w:r>
        <w:t xml:space="preserve">HUD required </w:t>
      </w:r>
      <w:r w:rsidR="008E0FD1" w:rsidRPr="00B42542">
        <w:t xml:space="preserve">CoCs to demonstrate </w:t>
      </w:r>
      <w:r w:rsidR="0088764B">
        <w:t xml:space="preserve">that they have </w:t>
      </w:r>
      <w:r w:rsidR="008E0FD1" w:rsidRPr="00B42542">
        <w:t>a functioning HMIS that facilitates the collection of information on homeless individuals and families using residential and other homeless services and stores the date electronically.  Domestic violence and legal services organizations are prohibited from entering data into HMIS but are required to have a comparable database that supplies aggregated, non-personally identifiable information to the</w:t>
      </w:r>
      <w:r w:rsidR="0088764B">
        <w:t>ir</w:t>
      </w:r>
      <w:r w:rsidR="008E0FD1" w:rsidRPr="00B42542">
        <w:t xml:space="preserve"> CoC.</w:t>
      </w:r>
      <w:r>
        <w:t xml:space="preserve">  </w:t>
      </w:r>
      <w:r w:rsidR="00855F66">
        <w:t>This section included HMIS i</w:t>
      </w:r>
      <w:r w:rsidRPr="00B42542">
        <w:t>mplementation, funding sources, bed coverage, and data quality including:</w:t>
      </w:r>
    </w:p>
    <w:p w:rsidR="008E0FD1" w:rsidRPr="00B42542" w:rsidRDefault="008E0FD1" w:rsidP="00D17C08">
      <w:pPr>
        <w:pStyle w:val="ListParagraph"/>
        <w:numPr>
          <w:ilvl w:val="0"/>
          <w:numId w:val="22"/>
        </w:numPr>
        <w:spacing w:after="180"/>
        <w:contextualSpacing w:val="0"/>
      </w:pPr>
      <w:r w:rsidRPr="00B42542">
        <w:t>Providing the governance charter that outlines the roles and responsibilities of the CoC and HMIS Lead, or other document that provided this information;</w:t>
      </w:r>
    </w:p>
    <w:p w:rsidR="008E0FD1" w:rsidRPr="00B42542" w:rsidRDefault="008E0FD1" w:rsidP="00D17C08">
      <w:pPr>
        <w:pStyle w:val="ListParagraph"/>
        <w:numPr>
          <w:ilvl w:val="0"/>
          <w:numId w:val="22"/>
        </w:numPr>
        <w:spacing w:after="180"/>
        <w:contextualSpacing w:val="0"/>
      </w:pPr>
      <w:r w:rsidRPr="00B42542">
        <w:t>Indicat</w:t>
      </w:r>
      <w:r w:rsidR="0088764B">
        <w:t>ing</w:t>
      </w:r>
      <w:r w:rsidRPr="00B42542">
        <w:t xml:space="preserve"> if the CoC has an HMIS Policies and Procedures Manual, and attach</w:t>
      </w:r>
      <w:r w:rsidR="0088764B">
        <w:t>ing</w:t>
      </w:r>
      <w:r w:rsidRPr="00B42542">
        <w:t xml:space="preserve"> a copy to the application;</w:t>
      </w:r>
    </w:p>
    <w:p w:rsidR="008E0FD1" w:rsidRPr="00B42542" w:rsidRDefault="008E0FD1" w:rsidP="00D17C08">
      <w:pPr>
        <w:pStyle w:val="ListParagraph"/>
        <w:numPr>
          <w:ilvl w:val="0"/>
          <w:numId w:val="22"/>
        </w:numPr>
        <w:spacing w:after="180"/>
        <w:contextualSpacing w:val="0"/>
      </w:pPr>
      <w:r w:rsidRPr="00B42542">
        <w:t>Identify</w:t>
      </w:r>
      <w:r w:rsidR="0088764B">
        <w:t>ing</w:t>
      </w:r>
      <w:r w:rsidRPr="00B42542">
        <w:t xml:space="preserve"> if the CoC has agreements in place that outline the roles and responsibilities between the HMIS Lead and the Contributing HMIS Organizations (CHOs);</w:t>
      </w:r>
    </w:p>
    <w:p w:rsidR="008E0FD1" w:rsidRPr="00B42542" w:rsidRDefault="008E0FD1" w:rsidP="00D17C08">
      <w:pPr>
        <w:pStyle w:val="ListParagraph"/>
        <w:numPr>
          <w:ilvl w:val="0"/>
          <w:numId w:val="22"/>
        </w:numPr>
        <w:spacing w:after="180"/>
        <w:contextualSpacing w:val="0"/>
      </w:pPr>
      <w:r w:rsidRPr="00B42542">
        <w:t>Provid</w:t>
      </w:r>
      <w:r w:rsidR="0088764B">
        <w:t>ing</w:t>
      </w:r>
      <w:r w:rsidRPr="00B42542">
        <w:t xml:space="preserve"> information for a number of questions </w:t>
      </w:r>
      <w:r w:rsidR="0088764B">
        <w:t>about</w:t>
      </w:r>
      <w:r w:rsidR="0088764B" w:rsidRPr="00B42542">
        <w:t xml:space="preserve"> </w:t>
      </w:r>
      <w:r w:rsidRPr="00B42542">
        <w:t>the bed coverage rate</w:t>
      </w:r>
      <w:r w:rsidR="00855F66">
        <w:t>, including</w:t>
      </w:r>
      <w:r w:rsidRPr="00B42542">
        <w:t>:</w:t>
      </w:r>
    </w:p>
    <w:p w:rsidR="008E0FD1" w:rsidRPr="00B42542" w:rsidRDefault="008E0FD1" w:rsidP="00D17C08">
      <w:pPr>
        <w:pStyle w:val="ListParagraph"/>
        <w:numPr>
          <w:ilvl w:val="1"/>
          <w:numId w:val="23"/>
        </w:numPr>
        <w:spacing w:after="180"/>
        <w:ind w:left="1800"/>
        <w:contextualSpacing w:val="0"/>
      </w:pPr>
      <w:r w:rsidRPr="00B42542">
        <w:t>bed coverage information from the FY 2015 Housing Inventory Count (HIC) and for each project type with a bed coverage rate below 85 percent, provide the specific steps they plan</w:t>
      </w:r>
      <w:r w:rsidR="0088764B">
        <w:t>ned</w:t>
      </w:r>
      <w:r w:rsidRPr="00B42542">
        <w:t xml:space="preserve"> to take to increase the percentage over the next 12 months,</w:t>
      </w:r>
    </w:p>
    <w:p w:rsidR="008E0FD1" w:rsidRPr="00B42542" w:rsidRDefault="00855F66" w:rsidP="00D17C08">
      <w:pPr>
        <w:pStyle w:val="ListParagraph"/>
        <w:numPr>
          <w:ilvl w:val="1"/>
          <w:numId w:val="23"/>
        </w:numPr>
        <w:spacing w:after="180"/>
        <w:ind w:left="1800"/>
        <w:contextualSpacing w:val="0"/>
      </w:pPr>
      <w:r>
        <w:t>information regarding the s</w:t>
      </w:r>
      <w:r w:rsidR="008E0FD1" w:rsidRPr="00B42542">
        <w:t xml:space="preserve">ubmission of the 2015 HIC into HDX, and </w:t>
      </w:r>
      <w:r>
        <w:t xml:space="preserve">information about </w:t>
      </w:r>
      <w:r w:rsidR="008E0FD1" w:rsidRPr="00B42542">
        <w:t xml:space="preserve">beds from the HIC for each project type; and </w:t>
      </w:r>
    </w:p>
    <w:p w:rsidR="008E0FD1" w:rsidRPr="00B42542" w:rsidRDefault="00855F66" w:rsidP="00D17C08">
      <w:pPr>
        <w:pStyle w:val="ListParagraph"/>
        <w:numPr>
          <w:ilvl w:val="1"/>
          <w:numId w:val="23"/>
        </w:numPr>
        <w:spacing w:after="180"/>
        <w:ind w:left="1800"/>
        <w:contextualSpacing w:val="0"/>
      </w:pPr>
      <w:r>
        <w:t>h</w:t>
      </w:r>
      <w:r w:rsidR="008E0FD1" w:rsidRPr="00B42542">
        <w:t>ow often the CoC reviews or assesses bed coverage.</w:t>
      </w:r>
    </w:p>
    <w:p w:rsidR="008E0FD1" w:rsidRPr="00B42542" w:rsidRDefault="008E0FD1" w:rsidP="00D17C08">
      <w:pPr>
        <w:pStyle w:val="ListParagraph"/>
        <w:numPr>
          <w:ilvl w:val="0"/>
          <w:numId w:val="22"/>
        </w:numPr>
        <w:spacing w:after="180"/>
        <w:contextualSpacing w:val="0"/>
      </w:pPr>
      <w:r w:rsidRPr="00B42542">
        <w:t>Identif</w:t>
      </w:r>
      <w:r w:rsidR="00FE62F8">
        <w:t>ying</w:t>
      </w:r>
      <w:r w:rsidRPr="00B42542">
        <w:t xml:space="preserve"> the reports the HMIS generates; </w:t>
      </w:r>
    </w:p>
    <w:p w:rsidR="008E0FD1" w:rsidRPr="00B42542" w:rsidRDefault="008E0FD1" w:rsidP="00D17C08">
      <w:pPr>
        <w:pStyle w:val="ListParagraph"/>
        <w:numPr>
          <w:ilvl w:val="0"/>
          <w:numId w:val="22"/>
        </w:numPr>
        <w:spacing w:after="180"/>
        <w:contextualSpacing w:val="0"/>
      </w:pPr>
      <w:r w:rsidRPr="00B42542">
        <w:t>Identify</w:t>
      </w:r>
      <w:r w:rsidR="00FE62F8">
        <w:t>ing</w:t>
      </w:r>
      <w:r w:rsidRPr="00B42542">
        <w:t xml:space="preserve"> how frequently the CoC reviews data quality; and</w:t>
      </w:r>
    </w:p>
    <w:p w:rsidR="008E0FD1" w:rsidRPr="00B42542" w:rsidRDefault="008E0FD1" w:rsidP="00D17C08">
      <w:pPr>
        <w:pStyle w:val="ListParagraph"/>
        <w:numPr>
          <w:ilvl w:val="0"/>
          <w:numId w:val="22"/>
        </w:numPr>
        <w:spacing w:after="180"/>
        <w:contextualSpacing w:val="0"/>
      </w:pPr>
      <w:r w:rsidRPr="00B42542">
        <w:t>Identify</w:t>
      </w:r>
      <w:r w:rsidR="00FE62F8">
        <w:t>ing</w:t>
      </w:r>
      <w:r w:rsidRPr="00B42542">
        <w:t xml:space="preserve"> the </w:t>
      </w:r>
      <w:r w:rsidR="009E4637">
        <w:t>F</w:t>
      </w:r>
      <w:r w:rsidR="009E4637" w:rsidRPr="00B42542">
        <w:t xml:space="preserve">ederal </w:t>
      </w:r>
      <w:r w:rsidRPr="00B42542">
        <w:t>partner p</w:t>
      </w:r>
      <w:r w:rsidR="00855F66">
        <w:t>rograms that use the CoC’s HMIS.</w:t>
      </w:r>
    </w:p>
    <w:p w:rsidR="00CA3389" w:rsidRPr="00CA3389" w:rsidRDefault="00CA3389" w:rsidP="009E4637">
      <w:pPr>
        <w:spacing w:after="180"/>
        <w:rPr>
          <w:b/>
        </w:rPr>
      </w:pPr>
      <w:r w:rsidRPr="00CA3389">
        <w:rPr>
          <w:b/>
        </w:rPr>
        <w:t>Important Points to Consider</w:t>
      </w:r>
    </w:p>
    <w:p w:rsidR="008E0FD1" w:rsidRDefault="008E0FD1" w:rsidP="00D17C08">
      <w:pPr>
        <w:pStyle w:val="ListParagraph"/>
        <w:numPr>
          <w:ilvl w:val="0"/>
          <w:numId w:val="24"/>
        </w:numPr>
        <w:spacing w:after="180"/>
        <w:contextualSpacing w:val="0"/>
      </w:pPr>
      <w:r w:rsidRPr="00B42542">
        <w:t xml:space="preserve">CoCs scored </w:t>
      </w:r>
      <w:r w:rsidR="00CA3389">
        <w:t>well</w:t>
      </w:r>
      <w:r w:rsidR="00CA3389" w:rsidRPr="00B42542">
        <w:t xml:space="preserve"> </w:t>
      </w:r>
      <w:r w:rsidRPr="00B42542">
        <w:t>on providing their governance charter and identification of its location in the application.</w:t>
      </w:r>
    </w:p>
    <w:p w:rsidR="008E0FD1" w:rsidRPr="00B42542" w:rsidRDefault="008E0FD1" w:rsidP="00D17C08">
      <w:pPr>
        <w:pStyle w:val="ListParagraph"/>
        <w:numPr>
          <w:ilvl w:val="0"/>
          <w:numId w:val="24"/>
        </w:numPr>
        <w:spacing w:after="180"/>
        <w:contextualSpacing w:val="0"/>
      </w:pPr>
      <w:r w:rsidRPr="00B42542">
        <w:t>For the questions regarding bed coverage</w:t>
      </w:r>
      <w:r w:rsidR="00FE62F8">
        <w:t xml:space="preserve"> rates</w:t>
      </w:r>
      <w:r w:rsidRPr="00B42542">
        <w:t xml:space="preserve">, those who had bed coverage rates below 85 percent scored high by providing detailed plans with specific steps they are taking in the next 12 months to increase rates.  </w:t>
      </w:r>
    </w:p>
    <w:p w:rsidR="008E0FD1" w:rsidRPr="00B42542" w:rsidRDefault="008E0FD1" w:rsidP="00D17C08">
      <w:pPr>
        <w:pStyle w:val="ListParagraph"/>
        <w:numPr>
          <w:ilvl w:val="0"/>
          <w:numId w:val="24"/>
        </w:numPr>
        <w:spacing w:after="180"/>
        <w:contextualSpacing w:val="0"/>
      </w:pPr>
      <w:r w:rsidRPr="00B42542">
        <w:t xml:space="preserve">CoCs scored </w:t>
      </w:r>
      <w:r w:rsidR="006964B7">
        <w:t>well</w:t>
      </w:r>
      <w:r w:rsidR="006964B7" w:rsidRPr="00B42542">
        <w:t xml:space="preserve"> </w:t>
      </w:r>
      <w:r w:rsidRPr="00B42542">
        <w:t xml:space="preserve">on their ability to generate HMIS reports from the list provided in the application.  </w:t>
      </w:r>
    </w:p>
    <w:p w:rsidR="008E0FD1" w:rsidRPr="009F5998" w:rsidRDefault="008E0FD1" w:rsidP="009E4637">
      <w:pPr>
        <w:pStyle w:val="Heading2"/>
      </w:pPr>
      <w:r w:rsidRPr="009F5998">
        <w:t xml:space="preserve">IV: </w:t>
      </w:r>
      <w:r w:rsidR="009F5998">
        <w:t xml:space="preserve"> </w:t>
      </w:r>
      <w:r w:rsidRPr="009F5998">
        <w:t>Point-In-Time Count–9 possible points</w:t>
      </w:r>
    </w:p>
    <w:p w:rsidR="008E0FD1" w:rsidRPr="00B42542" w:rsidRDefault="00CA3389" w:rsidP="009E4637">
      <w:pPr>
        <w:spacing w:after="180"/>
      </w:pPr>
      <w:r>
        <w:t xml:space="preserve">HUD required </w:t>
      </w:r>
      <w:r w:rsidR="008E0FD1" w:rsidRPr="00B42542">
        <w:t xml:space="preserve">CoCs to provide </w:t>
      </w:r>
      <w:r w:rsidR="006964B7">
        <w:t xml:space="preserve">the following </w:t>
      </w:r>
      <w:r w:rsidR="008E0FD1" w:rsidRPr="00B42542">
        <w:t xml:space="preserve">information about the Point-In-Time (PIT) count including the methods they used, the decisions behind the selection of the methodology, changes in methodology, and data quality. </w:t>
      </w:r>
    </w:p>
    <w:p w:rsidR="008E0FD1" w:rsidRPr="00B42542" w:rsidRDefault="008E0FD1" w:rsidP="00D17C08">
      <w:pPr>
        <w:pStyle w:val="ListParagraph"/>
        <w:numPr>
          <w:ilvl w:val="0"/>
          <w:numId w:val="9"/>
        </w:numPr>
        <w:spacing w:after="180" w:line="259" w:lineRule="auto"/>
        <w:contextualSpacing w:val="0"/>
      </w:pPr>
      <w:r w:rsidRPr="00B42542">
        <w:t>Shelter</w:t>
      </w:r>
      <w:r w:rsidR="00FE62F8">
        <w:t>ed</w:t>
      </w:r>
      <w:r w:rsidRPr="00B42542">
        <w:t xml:space="preserve"> PIT count, count methods, and data quality, and </w:t>
      </w:r>
    </w:p>
    <w:p w:rsidR="008E0FD1" w:rsidRPr="00B42542" w:rsidRDefault="008E0FD1" w:rsidP="00D17C08">
      <w:pPr>
        <w:pStyle w:val="ListParagraph"/>
        <w:numPr>
          <w:ilvl w:val="0"/>
          <w:numId w:val="9"/>
        </w:numPr>
        <w:spacing w:after="180" w:line="259" w:lineRule="auto"/>
        <w:contextualSpacing w:val="0"/>
      </w:pPr>
      <w:r w:rsidRPr="00B42542">
        <w:t>Unsheltered PIT count, count methods, and data quality.</w:t>
      </w:r>
    </w:p>
    <w:p w:rsidR="008E0FD1" w:rsidRPr="00B42542" w:rsidRDefault="008E0FD1" w:rsidP="009E4637">
      <w:pPr>
        <w:spacing w:after="180"/>
      </w:pPr>
      <w:r w:rsidRPr="00B42542">
        <w:t xml:space="preserve">Overall CoCs scored </w:t>
      </w:r>
      <w:r w:rsidR="00F467D4">
        <w:t xml:space="preserve">in the </w:t>
      </w:r>
      <w:r w:rsidR="006964B7">
        <w:t>well</w:t>
      </w:r>
      <w:r w:rsidR="006964B7" w:rsidRPr="00B42542">
        <w:t xml:space="preserve"> </w:t>
      </w:r>
      <w:r w:rsidRPr="00B42542">
        <w:t xml:space="preserve">to moderate range in all areas for reporting PIT information.  Questions were completed with the required information.  CoCs provided descriptions of their PIT count methodology and why this methodology was selected.  </w:t>
      </w:r>
    </w:p>
    <w:p w:rsidR="008E0FD1" w:rsidRPr="00B42542" w:rsidRDefault="008E0FD1" w:rsidP="009E4637">
      <w:pPr>
        <w:spacing w:after="180"/>
      </w:pPr>
      <w:r w:rsidRPr="00B42542">
        <w:t xml:space="preserve">Over one half of the CoCs did not change their methodology from 2014 to 2015.  </w:t>
      </w:r>
    </w:p>
    <w:p w:rsidR="008E0FD1" w:rsidRPr="00B42542" w:rsidRDefault="008E0FD1" w:rsidP="009E4637">
      <w:pPr>
        <w:spacing w:after="180"/>
      </w:pPr>
      <w:r w:rsidRPr="00B42542">
        <w:t xml:space="preserve">CoCs scored lower </w:t>
      </w:r>
      <w:r w:rsidR="00FE62F8">
        <w:t>on</w:t>
      </w:r>
      <w:r w:rsidR="00FE62F8" w:rsidRPr="00B42542">
        <w:t xml:space="preserve"> </w:t>
      </w:r>
      <w:r w:rsidRPr="00B42542">
        <w:t>questions regarding changes to PIT count methodologies.  The questions asked for a detailed description of the change.  Many did not clearly describe their new methodolog</w:t>
      </w:r>
      <w:r w:rsidR="006964B7">
        <w:t>ies</w:t>
      </w:r>
      <w:r w:rsidRPr="00B42542">
        <w:t xml:space="preserve">, or </w:t>
      </w:r>
      <w:r w:rsidR="006964B7">
        <w:t>failed to</w:t>
      </w:r>
      <w:r w:rsidRPr="00B42542">
        <w:t xml:space="preserve"> focus on </w:t>
      </w:r>
      <w:r w:rsidR="006964B7">
        <w:t xml:space="preserve">a </w:t>
      </w:r>
      <w:r w:rsidRPr="00B42542">
        <w:t xml:space="preserve">methodology changes. </w:t>
      </w:r>
    </w:p>
    <w:p w:rsidR="008E0FD1" w:rsidRPr="009F5998" w:rsidRDefault="008E0FD1" w:rsidP="009E4637">
      <w:pPr>
        <w:pStyle w:val="Heading2"/>
      </w:pPr>
      <w:r w:rsidRPr="009F5998">
        <w:t xml:space="preserve">Part V: </w:t>
      </w:r>
      <w:r w:rsidR="009F5998">
        <w:t xml:space="preserve"> </w:t>
      </w:r>
      <w:r w:rsidRPr="009F5998">
        <w:t>System Performance–38 possible points</w:t>
      </w:r>
    </w:p>
    <w:p w:rsidR="008E0FD1" w:rsidRDefault="008E0FD1" w:rsidP="009E4637">
      <w:pPr>
        <w:spacing w:after="180"/>
      </w:pPr>
      <w:r w:rsidRPr="00B42542">
        <w:t xml:space="preserve">HUD reviewed CoC Applications based on the CoC’s plan for and progress to reduce homelessness in its geographic area and decreasing the number of recurrences of homelessness.  </w:t>
      </w:r>
      <w:r w:rsidR="00F467D4">
        <w:t xml:space="preserve">Questions </w:t>
      </w:r>
      <w:r w:rsidRPr="00B42542">
        <w:t>focus</w:t>
      </w:r>
      <w:r w:rsidR="00F467D4">
        <w:t>ed</w:t>
      </w:r>
      <w:r w:rsidRPr="00B42542">
        <w:t xml:space="preserve"> on chronic homelessness, particularly those with the longest experience of homelessness.  </w:t>
      </w:r>
    </w:p>
    <w:p w:rsidR="008E0FD1" w:rsidRDefault="00BD73BC" w:rsidP="009E4637">
      <w:pPr>
        <w:spacing w:after="180"/>
      </w:pPr>
      <w:r>
        <w:t xml:space="preserve">HUD evaluated </w:t>
      </w:r>
      <w:r w:rsidR="008E0FD1" w:rsidRPr="00B42542">
        <w:t xml:space="preserve">CoCs on the extent </w:t>
      </w:r>
      <w:r w:rsidR="006964B7">
        <w:t>to</w:t>
      </w:r>
      <w:r w:rsidR="006964B7" w:rsidRPr="00B42542">
        <w:t xml:space="preserve"> </w:t>
      </w:r>
      <w:r w:rsidR="008E0FD1" w:rsidRPr="00B42542">
        <w:t>which their work furthers the achievement of HUD’s goals</w:t>
      </w:r>
      <w:r w:rsidR="00FE62F8">
        <w:t>,</w:t>
      </w:r>
      <w:r w:rsidR="008E0FD1" w:rsidRPr="00B42542">
        <w:t xml:space="preserve"> as articulated in HUD’s Strategic Plan and </w:t>
      </w:r>
      <w:r w:rsidR="008E0FD1" w:rsidRPr="00B42542">
        <w:rPr>
          <w:i/>
        </w:rPr>
        <w:t>Opening Doors</w:t>
      </w:r>
      <w:r w:rsidR="00FE62F8">
        <w:rPr>
          <w:i/>
        </w:rPr>
        <w:t>,</w:t>
      </w:r>
      <w:r w:rsidR="008E0FD1" w:rsidRPr="00B42542">
        <w:t xml:space="preserve"> through planning and performance. </w:t>
      </w:r>
    </w:p>
    <w:p w:rsidR="008E0FD1" w:rsidRPr="00B42542" w:rsidRDefault="006964B7" w:rsidP="009E4637">
      <w:pPr>
        <w:spacing w:after="180"/>
      </w:pPr>
      <w:r>
        <w:t xml:space="preserve">HUD required that </w:t>
      </w:r>
      <w:r w:rsidR="008E0FD1" w:rsidRPr="00B42542">
        <w:t>CoCs provide information on the following performance measures:</w:t>
      </w:r>
    </w:p>
    <w:p w:rsidR="008E0FD1" w:rsidRPr="00B42542" w:rsidRDefault="008E0FD1" w:rsidP="00D17C08">
      <w:pPr>
        <w:pStyle w:val="ListParagraph"/>
        <w:numPr>
          <w:ilvl w:val="0"/>
          <w:numId w:val="25"/>
        </w:numPr>
        <w:spacing w:after="180" w:line="259" w:lineRule="auto"/>
        <w:contextualSpacing w:val="0"/>
      </w:pPr>
      <w:r w:rsidRPr="00B42542">
        <w:t>Point-In-Time Count</w:t>
      </w:r>
    </w:p>
    <w:p w:rsidR="008E0FD1" w:rsidRPr="00B42542" w:rsidRDefault="008E0FD1" w:rsidP="00D17C08">
      <w:pPr>
        <w:pStyle w:val="ListParagraph"/>
        <w:numPr>
          <w:ilvl w:val="0"/>
          <w:numId w:val="25"/>
        </w:numPr>
        <w:spacing w:after="180" w:line="259" w:lineRule="auto"/>
        <w:contextualSpacing w:val="0"/>
      </w:pPr>
      <w:r w:rsidRPr="00B42542">
        <w:t>First Time Homelessness</w:t>
      </w:r>
    </w:p>
    <w:p w:rsidR="008E0FD1" w:rsidRPr="00B42542" w:rsidRDefault="008E0FD1" w:rsidP="00D17C08">
      <w:pPr>
        <w:pStyle w:val="ListParagraph"/>
        <w:numPr>
          <w:ilvl w:val="0"/>
          <w:numId w:val="25"/>
        </w:numPr>
        <w:spacing w:after="180" w:line="259" w:lineRule="auto"/>
        <w:contextualSpacing w:val="0"/>
      </w:pPr>
      <w:r w:rsidRPr="00B42542">
        <w:t>Length of Time Homeless</w:t>
      </w:r>
    </w:p>
    <w:p w:rsidR="008E0FD1" w:rsidRPr="00B42542" w:rsidRDefault="008E0FD1" w:rsidP="00D17C08">
      <w:pPr>
        <w:pStyle w:val="ListParagraph"/>
        <w:numPr>
          <w:ilvl w:val="0"/>
          <w:numId w:val="25"/>
        </w:numPr>
        <w:spacing w:after="180" w:line="259" w:lineRule="auto"/>
        <w:contextualSpacing w:val="0"/>
      </w:pPr>
      <w:r w:rsidRPr="00B42542">
        <w:t>Successful Permanent Housing Placement or Retention</w:t>
      </w:r>
    </w:p>
    <w:p w:rsidR="008E0FD1" w:rsidRPr="00B42542" w:rsidRDefault="008E0FD1" w:rsidP="00D17C08">
      <w:pPr>
        <w:pStyle w:val="ListParagraph"/>
        <w:numPr>
          <w:ilvl w:val="0"/>
          <w:numId w:val="25"/>
        </w:numPr>
        <w:spacing w:after="180" w:line="259" w:lineRule="auto"/>
        <w:contextualSpacing w:val="0"/>
      </w:pPr>
      <w:r w:rsidRPr="00B42542">
        <w:t>Returns to Homelessness</w:t>
      </w:r>
    </w:p>
    <w:p w:rsidR="008E0FD1" w:rsidRPr="00B42542" w:rsidRDefault="008E0FD1" w:rsidP="00D17C08">
      <w:pPr>
        <w:pStyle w:val="ListParagraph"/>
        <w:numPr>
          <w:ilvl w:val="0"/>
          <w:numId w:val="25"/>
        </w:numPr>
        <w:spacing w:after="180" w:line="259" w:lineRule="auto"/>
        <w:contextualSpacing w:val="0"/>
      </w:pPr>
      <w:r w:rsidRPr="00B42542">
        <w:t>Job and Income Growth</w:t>
      </w:r>
    </w:p>
    <w:p w:rsidR="008E0FD1" w:rsidRPr="00B42542" w:rsidRDefault="008E0FD1" w:rsidP="00D17C08">
      <w:pPr>
        <w:pStyle w:val="ListParagraph"/>
        <w:numPr>
          <w:ilvl w:val="0"/>
          <w:numId w:val="25"/>
        </w:numPr>
        <w:spacing w:after="180" w:line="259" w:lineRule="auto"/>
        <w:contextualSpacing w:val="0"/>
      </w:pPr>
      <w:r w:rsidRPr="00B42542">
        <w:t>Thoroughness of Outreach</w:t>
      </w:r>
    </w:p>
    <w:p w:rsidR="008E0FD1" w:rsidRPr="00B42542" w:rsidRDefault="008E0FD1" w:rsidP="009E4637">
      <w:pPr>
        <w:spacing w:after="180"/>
      </w:pPr>
      <w:r w:rsidRPr="00B42542">
        <w:t xml:space="preserve">CoCs scored </w:t>
      </w:r>
      <w:r w:rsidR="00FE62F8">
        <w:t xml:space="preserve">well for </w:t>
      </w:r>
      <w:r w:rsidR="00BD73BC">
        <w:t xml:space="preserve">providing </w:t>
      </w:r>
      <w:r w:rsidRPr="00B42542">
        <w:t>complete, detailed information in their responses for the performance measures above.</w:t>
      </w:r>
    </w:p>
    <w:p w:rsidR="008E0FD1" w:rsidRPr="00B42542" w:rsidRDefault="008E0FD1" w:rsidP="009E4637">
      <w:pPr>
        <w:spacing w:after="180"/>
      </w:pPr>
      <w:r w:rsidRPr="00B42542">
        <w:t xml:space="preserve">HUD also outlines three performance and strategic planning objectives. </w:t>
      </w:r>
    </w:p>
    <w:p w:rsidR="008E0FD1" w:rsidRPr="00B42542" w:rsidRDefault="008E0FD1" w:rsidP="009E4637">
      <w:pPr>
        <w:spacing w:after="180"/>
        <w:ind w:left="720"/>
      </w:pPr>
      <w:r w:rsidRPr="00B42542">
        <w:t>Ending Chronic Homelessness</w:t>
      </w:r>
    </w:p>
    <w:p w:rsidR="00F467D4" w:rsidRDefault="008E0FD1" w:rsidP="009E4637">
      <w:pPr>
        <w:spacing w:after="180"/>
        <w:ind w:left="720"/>
      </w:pPr>
      <w:r w:rsidRPr="00B42542">
        <w:t xml:space="preserve">Ending Homelessness Among Households with Children </w:t>
      </w:r>
    </w:p>
    <w:p w:rsidR="008E0FD1" w:rsidRPr="00B42542" w:rsidRDefault="008E0FD1" w:rsidP="009E4637">
      <w:pPr>
        <w:spacing w:after="180"/>
        <w:ind w:left="720"/>
      </w:pPr>
      <w:r w:rsidRPr="00B42542">
        <w:t>Ending Youth Homelessness</w:t>
      </w:r>
    </w:p>
    <w:p w:rsidR="008E0FD1" w:rsidRPr="00B42542" w:rsidRDefault="008E0FD1" w:rsidP="009E4637">
      <w:pPr>
        <w:spacing w:after="180"/>
        <w:ind w:left="720"/>
      </w:pPr>
      <w:r w:rsidRPr="00B42542">
        <w:t>Ending Veteran Homelessness</w:t>
      </w:r>
    </w:p>
    <w:p w:rsidR="008E0FD1" w:rsidRPr="00B42542" w:rsidRDefault="008E0FD1" w:rsidP="009E4637">
      <w:pPr>
        <w:spacing w:after="180"/>
      </w:pPr>
      <w:r w:rsidRPr="00B42542">
        <w:t xml:space="preserve">For the three performance and strategic planning objectives, </w:t>
      </w:r>
      <w:r w:rsidR="00BD73BC">
        <w:t xml:space="preserve">HUD required </w:t>
      </w:r>
      <w:r w:rsidRPr="00B42542">
        <w:t>CoCs to provide:</w:t>
      </w:r>
    </w:p>
    <w:p w:rsidR="008E0FD1" w:rsidRPr="00B42542" w:rsidRDefault="008E0FD1" w:rsidP="00D17C08">
      <w:pPr>
        <w:pStyle w:val="ListParagraph"/>
        <w:numPr>
          <w:ilvl w:val="0"/>
          <w:numId w:val="10"/>
        </w:numPr>
        <w:spacing w:after="180"/>
        <w:contextualSpacing w:val="0"/>
      </w:pPr>
      <w:r w:rsidRPr="00B42542">
        <w:t>Data and details of why there were increases, decrease</w:t>
      </w:r>
      <w:r w:rsidR="00FE62F8">
        <w:t>s</w:t>
      </w:r>
      <w:r w:rsidR="00F467D4">
        <w:t>,</w:t>
      </w:r>
      <w:r w:rsidRPr="00B42542">
        <w:t xml:space="preserve"> or no change for a number of </w:t>
      </w:r>
      <w:r w:rsidR="00FE62F8">
        <w:t>populations,</w:t>
      </w:r>
      <w:r w:rsidR="00FE62F8" w:rsidRPr="00B42542">
        <w:t xml:space="preserve"> </w:t>
      </w:r>
      <w:r w:rsidRPr="00B42542">
        <w:t xml:space="preserve">including </w:t>
      </w:r>
      <w:r w:rsidR="00FE62F8">
        <w:t>people experiencing chronic</w:t>
      </w:r>
      <w:r w:rsidRPr="00B42542">
        <w:t xml:space="preserve"> homeless</w:t>
      </w:r>
      <w:r w:rsidR="00FE62F8">
        <w:t>ness</w:t>
      </w:r>
      <w:r w:rsidRPr="00B42542">
        <w:t>, families with children, youth</w:t>
      </w:r>
      <w:r w:rsidR="00FE62F8">
        <w:t xml:space="preserve">, and </w:t>
      </w:r>
      <w:r w:rsidRPr="00B42542">
        <w:t>veteran</w:t>
      </w:r>
      <w:r w:rsidR="00FE62F8">
        <w:t>s</w:t>
      </w:r>
      <w:r w:rsidRPr="00B42542">
        <w:t xml:space="preserve">;  </w:t>
      </w:r>
    </w:p>
    <w:p w:rsidR="008E0FD1" w:rsidRPr="00B42542" w:rsidRDefault="008E0FD1" w:rsidP="00D17C08">
      <w:pPr>
        <w:pStyle w:val="ListParagraph"/>
        <w:numPr>
          <w:ilvl w:val="0"/>
          <w:numId w:val="10"/>
        </w:numPr>
        <w:spacing w:after="180"/>
        <w:contextualSpacing w:val="0"/>
      </w:pPr>
      <w:r w:rsidRPr="00B42542">
        <w:t>An update from the F</w:t>
      </w:r>
      <w:r w:rsidR="00FE62F8">
        <w:t>Y</w:t>
      </w:r>
      <w:r w:rsidRPr="00B42542">
        <w:t xml:space="preserve"> 2013/2014 </w:t>
      </w:r>
      <w:r w:rsidR="00FE62F8">
        <w:t xml:space="preserve">CoC Program Competition Application </w:t>
      </w:r>
      <w:r w:rsidRPr="00B42542">
        <w:t xml:space="preserve">of the strategies and actions that were accomplished; </w:t>
      </w:r>
    </w:p>
    <w:p w:rsidR="008E0FD1" w:rsidRPr="00B42542" w:rsidRDefault="008E0FD1" w:rsidP="00D17C08">
      <w:pPr>
        <w:pStyle w:val="ListParagraph"/>
        <w:numPr>
          <w:ilvl w:val="0"/>
          <w:numId w:val="10"/>
        </w:numPr>
        <w:spacing w:after="180"/>
        <w:contextualSpacing w:val="0"/>
      </w:pPr>
      <w:r w:rsidRPr="00B42542">
        <w:t xml:space="preserve">Factors for </w:t>
      </w:r>
      <w:r w:rsidR="00BD73BC" w:rsidRPr="00B42542">
        <w:t>prioritizat</w:t>
      </w:r>
      <w:r w:rsidR="00BD73BC">
        <w:t xml:space="preserve">ion of </w:t>
      </w:r>
      <w:r w:rsidRPr="00B42542">
        <w:t>households with children;</w:t>
      </w:r>
    </w:p>
    <w:p w:rsidR="008E0FD1" w:rsidRPr="00B42542" w:rsidRDefault="008E0FD1" w:rsidP="00D17C08">
      <w:pPr>
        <w:pStyle w:val="ListParagraph"/>
        <w:numPr>
          <w:ilvl w:val="0"/>
          <w:numId w:val="10"/>
        </w:numPr>
        <w:spacing w:after="180"/>
        <w:contextualSpacing w:val="0"/>
      </w:pPr>
      <w:r w:rsidRPr="00B42542">
        <w:t xml:space="preserve">Strategies to address the needs of </w:t>
      </w:r>
      <w:r w:rsidR="00FE62F8">
        <w:t>people experiencing</w:t>
      </w:r>
      <w:r w:rsidR="00FE62F8" w:rsidRPr="00B42542">
        <w:t xml:space="preserve"> </w:t>
      </w:r>
      <w:r w:rsidRPr="00B42542">
        <w:t>chronic homeless</w:t>
      </w:r>
      <w:r w:rsidR="00FE62F8">
        <w:t>ness</w:t>
      </w:r>
      <w:r w:rsidRPr="00B42542">
        <w:t>, families with children, youth</w:t>
      </w:r>
      <w:r w:rsidR="00FE62F8">
        <w:t>,</w:t>
      </w:r>
      <w:r w:rsidRPr="00B42542">
        <w:t xml:space="preserve"> and veterans. </w:t>
      </w:r>
    </w:p>
    <w:p w:rsidR="008E0FD1" w:rsidRPr="00B42542" w:rsidRDefault="008E0FD1" w:rsidP="009E4637">
      <w:pPr>
        <w:spacing w:after="180"/>
      </w:pPr>
      <w:r w:rsidRPr="00B42542">
        <w:t xml:space="preserve">CoCs </w:t>
      </w:r>
      <w:r w:rsidR="00BD73BC">
        <w:t>scored</w:t>
      </w:r>
      <w:r w:rsidR="00BD73BC" w:rsidRPr="00B42542">
        <w:t xml:space="preserve"> </w:t>
      </w:r>
      <w:r w:rsidR="00FE62F8">
        <w:t xml:space="preserve">well on </w:t>
      </w:r>
      <w:r w:rsidRPr="00B42542">
        <w:t>providing detailed information on accomplishing strategies and actions from their FY 2013/FY 2014 application.</w:t>
      </w:r>
    </w:p>
    <w:p w:rsidR="008E0FD1" w:rsidRPr="00B42542" w:rsidRDefault="008E0FD1" w:rsidP="009E4637">
      <w:pPr>
        <w:spacing w:after="180"/>
      </w:pPr>
      <w:r w:rsidRPr="00B42542">
        <w:t xml:space="preserve">The majority of CoCs scored in the mid-range </w:t>
      </w:r>
      <w:r w:rsidR="00FE62F8">
        <w:t>for</w:t>
      </w:r>
      <w:r w:rsidRPr="00B42542">
        <w:t xml:space="preserve"> describing their plan to rapidly rehouse every family that became homeless within 30 days of becoming homeless.</w:t>
      </w:r>
    </w:p>
    <w:p w:rsidR="008E0FD1" w:rsidRPr="00B42542" w:rsidRDefault="008E0FD1" w:rsidP="009E4637">
      <w:pPr>
        <w:spacing w:after="180"/>
      </w:pPr>
      <w:r w:rsidRPr="00B42542">
        <w:t xml:space="preserve">CoCs scored </w:t>
      </w:r>
      <w:r w:rsidR="00FE62F8">
        <w:t>well</w:t>
      </w:r>
      <w:r w:rsidR="00FE62F8" w:rsidRPr="00B42542">
        <w:t xml:space="preserve"> </w:t>
      </w:r>
      <w:r w:rsidR="00FE62F8">
        <w:t>for</w:t>
      </w:r>
      <w:r w:rsidR="00FE62F8" w:rsidRPr="00B42542">
        <w:t xml:space="preserve"> </w:t>
      </w:r>
      <w:r w:rsidRPr="00B42542">
        <w:t>providing information on how the</w:t>
      </w:r>
      <w:r w:rsidR="00FE62F8">
        <w:t>y</w:t>
      </w:r>
      <w:r w:rsidRPr="00B42542">
        <w:t xml:space="preserve"> ensure veterans that are eligible for VA services were identified, assessed and referred to the appropriate resources.</w:t>
      </w:r>
    </w:p>
    <w:p w:rsidR="008E0FD1" w:rsidRPr="00B42542" w:rsidRDefault="008E0FD1" w:rsidP="009E4637">
      <w:pPr>
        <w:spacing w:after="180"/>
      </w:pPr>
      <w:r w:rsidRPr="00B42542">
        <w:t xml:space="preserve">For </w:t>
      </w:r>
      <w:r w:rsidR="00FE62F8">
        <w:t xml:space="preserve">questions regarding </w:t>
      </w:r>
      <w:r w:rsidRPr="00B42542">
        <w:t xml:space="preserve">veterans who are not eligible for assistance through the U.S. Department of Veterans Affairs, and how </w:t>
      </w:r>
      <w:r w:rsidR="00FE62F8">
        <w:t xml:space="preserve">the CoC </w:t>
      </w:r>
      <w:r w:rsidRPr="00B42542">
        <w:t>prioritize</w:t>
      </w:r>
      <w:r w:rsidR="00FE62F8">
        <w:t>s</w:t>
      </w:r>
      <w:r w:rsidRPr="00B42542">
        <w:t xml:space="preserve"> resources to serve this population.  CoCs score</w:t>
      </w:r>
      <w:r w:rsidR="00FE62F8">
        <w:t>d</w:t>
      </w:r>
      <w:r w:rsidRPr="00B42542">
        <w:t xml:space="preserve"> lower</w:t>
      </w:r>
      <w:r w:rsidR="00FE62F8">
        <w:t>, and n</w:t>
      </w:r>
      <w:r w:rsidRPr="00B42542">
        <w:t xml:space="preserve">arratives </w:t>
      </w:r>
      <w:r w:rsidR="00FE62F8">
        <w:t xml:space="preserve">often </w:t>
      </w:r>
      <w:r w:rsidRPr="00B42542">
        <w:t>did not fully address both parts of the question.</w:t>
      </w:r>
    </w:p>
    <w:p w:rsidR="00BD73BC" w:rsidRPr="00B42542" w:rsidRDefault="00BD73BC" w:rsidP="009E4637">
      <w:pPr>
        <w:pStyle w:val="Heading1"/>
        <w:spacing w:after="180"/>
      </w:pPr>
      <w:bookmarkStart w:id="10" w:name="_Toc451542998"/>
      <w:r>
        <w:t xml:space="preserve">Other </w:t>
      </w:r>
      <w:r w:rsidR="004E7137">
        <w:t xml:space="preserve">Important </w:t>
      </w:r>
      <w:r w:rsidRPr="00B42542">
        <w:t>Points to Consider</w:t>
      </w:r>
      <w:bookmarkEnd w:id="10"/>
    </w:p>
    <w:p w:rsidR="00BD73BC" w:rsidRPr="00B42542" w:rsidRDefault="00BD73BC" w:rsidP="00D17C08">
      <w:pPr>
        <w:pStyle w:val="ListParagraph"/>
        <w:numPr>
          <w:ilvl w:val="0"/>
          <w:numId w:val="26"/>
        </w:numPr>
        <w:autoSpaceDE w:val="0"/>
        <w:autoSpaceDN w:val="0"/>
        <w:adjustRightInd w:val="0"/>
        <w:spacing w:after="180"/>
        <w:contextualSpacing w:val="0"/>
        <w:rPr>
          <w:rFonts w:eastAsia="Calibri"/>
        </w:rPr>
      </w:pPr>
      <w:r w:rsidRPr="00B42542">
        <w:rPr>
          <w:rFonts w:eastAsia="Calibri"/>
        </w:rPr>
        <w:t xml:space="preserve">It is important that CoCs have a full accounting of </w:t>
      </w:r>
      <w:r w:rsidRPr="003E28D4">
        <w:rPr>
          <w:rFonts w:eastAsia="Calibri"/>
          <w:b/>
        </w:rPr>
        <w:t>all</w:t>
      </w:r>
      <w:r w:rsidRPr="00B42542">
        <w:rPr>
          <w:rFonts w:eastAsia="Calibri"/>
        </w:rPr>
        <w:t xml:space="preserve"> CoC-funded projects within their geographies.  This includes knowing the total number of CoC-funded projects, the types, and the expiration dates.  It is important that all eligible renewal grants are indicated on the final HUD-approved Grant Inventory Worksheet.</w:t>
      </w:r>
    </w:p>
    <w:p w:rsidR="00BD73BC" w:rsidRPr="00BD0465" w:rsidRDefault="00BD73BC" w:rsidP="00D17C08">
      <w:pPr>
        <w:pStyle w:val="ListParagraph"/>
        <w:numPr>
          <w:ilvl w:val="0"/>
          <w:numId w:val="26"/>
        </w:numPr>
        <w:autoSpaceDE w:val="0"/>
        <w:autoSpaceDN w:val="0"/>
        <w:adjustRightInd w:val="0"/>
        <w:spacing w:after="180"/>
        <w:contextualSpacing w:val="0"/>
        <w:rPr>
          <w:rFonts w:eastAsia="Calibri"/>
        </w:rPr>
      </w:pPr>
      <w:r w:rsidRPr="00BD0465">
        <w:rPr>
          <w:rFonts w:eastAsia="Calibri"/>
        </w:rPr>
        <w:t xml:space="preserve">Only those renewal projects </w:t>
      </w:r>
      <w:r>
        <w:rPr>
          <w:rFonts w:eastAsia="Calibri"/>
        </w:rPr>
        <w:t>with</w:t>
      </w:r>
      <w:r w:rsidRPr="00BD0465">
        <w:rPr>
          <w:rFonts w:eastAsia="Calibri"/>
        </w:rPr>
        <w:t xml:space="preserve"> an operating end date in Calendar Year 2016 (CY) (</w:t>
      </w:r>
      <w:r>
        <w:rPr>
          <w:rFonts w:eastAsia="Calibri"/>
        </w:rPr>
        <w:t xml:space="preserve">the </w:t>
      </w:r>
      <w:r w:rsidRPr="00BD0465">
        <w:rPr>
          <w:rFonts w:eastAsia="Calibri"/>
        </w:rPr>
        <w:t>period between January 1, 2016 and December 31, 2016) were eligible for renewal.  In accordance with the FY 2015 CoC Program NOFA, HUD reduced CoCs’ ARD amounts by the amounts of any ineligible renewal projects</w:t>
      </w:r>
      <w:r w:rsidR="00F467D4">
        <w:rPr>
          <w:rFonts w:eastAsia="Calibri"/>
        </w:rPr>
        <w:t>.</w:t>
      </w:r>
      <w:r w:rsidRPr="00BD0465">
        <w:rPr>
          <w:rFonts w:eastAsia="Calibri"/>
        </w:rPr>
        <w:t xml:space="preserve"> </w:t>
      </w:r>
    </w:p>
    <w:p w:rsidR="00BD73BC" w:rsidRPr="00B42542" w:rsidRDefault="00BD73BC" w:rsidP="00D17C08">
      <w:pPr>
        <w:pStyle w:val="ListParagraph"/>
        <w:numPr>
          <w:ilvl w:val="0"/>
          <w:numId w:val="26"/>
        </w:numPr>
        <w:autoSpaceDE w:val="0"/>
        <w:autoSpaceDN w:val="0"/>
        <w:adjustRightInd w:val="0"/>
        <w:spacing w:after="180"/>
        <w:contextualSpacing w:val="0"/>
        <w:rPr>
          <w:rFonts w:eastAsia="Calibri"/>
        </w:rPr>
      </w:pPr>
      <w:r w:rsidRPr="00B42542">
        <w:rPr>
          <w:rFonts w:eastAsia="Calibri"/>
        </w:rPr>
        <w:t>HUD provide</w:t>
      </w:r>
      <w:r>
        <w:rPr>
          <w:rFonts w:eastAsia="Calibri"/>
        </w:rPr>
        <w:t>d</w:t>
      </w:r>
      <w:r w:rsidRPr="00B42542">
        <w:rPr>
          <w:rFonts w:eastAsia="Calibri"/>
        </w:rPr>
        <w:t xml:space="preserve"> detailed instructions, instructional guides, and </w:t>
      </w:r>
      <w:r>
        <w:rPr>
          <w:rFonts w:eastAsia="Calibri"/>
        </w:rPr>
        <w:t xml:space="preserve">answers to </w:t>
      </w:r>
      <w:r w:rsidRPr="00B42542">
        <w:rPr>
          <w:rFonts w:eastAsia="Calibri"/>
        </w:rPr>
        <w:t>frequently asked question</w:t>
      </w:r>
      <w:r>
        <w:rPr>
          <w:rFonts w:eastAsia="Calibri"/>
        </w:rPr>
        <w:t>s</w:t>
      </w:r>
      <w:r w:rsidRPr="00B42542">
        <w:rPr>
          <w:rFonts w:eastAsia="Calibri"/>
        </w:rPr>
        <w:t xml:space="preserve"> in order to assist CoC and project applicants to ensure all application questions are fully addressed.  Additionally, the HUD Exchange Ask A Question (AAQ) is also avail</w:t>
      </w:r>
      <w:r w:rsidR="00F467D4">
        <w:rPr>
          <w:rFonts w:eastAsia="Calibri"/>
        </w:rPr>
        <w:t>able during the c</w:t>
      </w:r>
      <w:r w:rsidRPr="00B42542">
        <w:rPr>
          <w:rFonts w:eastAsia="Calibri"/>
        </w:rPr>
        <w:t>ompetition</w:t>
      </w:r>
      <w:r w:rsidR="00F467D4">
        <w:rPr>
          <w:rFonts w:eastAsia="Calibri"/>
        </w:rPr>
        <w:t xml:space="preserve"> to assist applicants in locating</w:t>
      </w:r>
      <w:r w:rsidRPr="00B42542">
        <w:rPr>
          <w:rFonts w:eastAsia="Calibri"/>
        </w:rPr>
        <w:t xml:space="preserve"> the proper guidance.  </w:t>
      </w:r>
      <w:r>
        <w:rPr>
          <w:rFonts w:eastAsia="Calibri"/>
        </w:rPr>
        <w:t xml:space="preserve">All of these resources were </w:t>
      </w:r>
      <w:r w:rsidRPr="00B42542">
        <w:rPr>
          <w:rFonts w:eastAsia="Calibri"/>
        </w:rPr>
        <w:t>available on the HUD Exchange.</w:t>
      </w:r>
    </w:p>
    <w:p w:rsidR="00BD73BC" w:rsidRPr="00B42542" w:rsidRDefault="00BD73BC" w:rsidP="00D17C08">
      <w:pPr>
        <w:numPr>
          <w:ilvl w:val="0"/>
          <w:numId w:val="26"/>
        </w:numPr>
        <w:spacing w:after="180"/>
        <w:rPr>
          <w:rFonts w:eastAsia="Calibri"/>
        </w:rPr>
      </w:pPr>
      <w:r>
        <w:rPr>
          <w:rFonts w:eastAsia="Calibri"/>
        </w:rPr>
        <w:t>If p</w:t>
      </w:r>
      <w:r w:rsidRPr="00B42542">
        <w:rPr>
          <w:rFonts w:eastAsia="Calibri"/>
        </w:rPr>
        <w:t>roject applicants requested less fund</w:t>
      </w:r>
      <w:r>
        <w:rPr>
          <w:rFonts w:eastAsia="Calibri"/>
        </w:rPr>
        <w:t>ing</w:t>
      </w:r>
      <w:r w:rsidRPr="00B42542">
        <w:rPr>
          <w:rFonts w:eastAsia="Calibri"/>
        </w:rPr>
        <w:t xml:space="preserve"> or units than what they were eligible </w:t>
      </w:r>
      <w:r>
        <w:rPr>
          <w:rFonts w:eastAsia="Calibri"/>
        </w:rPr>
        <w:t>to request, HUD awarded</w:t>
      </w:r>
      <w:r w:rsidRPr="00B42542">
        <w:rPr>
          <w:rFonts w:eastAsia="Calibri"/>
        </w:rPr>
        <w:t xml:space="preserve"> the lesser amount</w:t>
      </w:r>
      <w:r>
        <w:rPr>
          <w:rFonts w:eastAsia="Calibri"/>
        </w:rPr>
        <w:t>.  This means that the CoC will be limited to that amount in future CoC Program Competitions.</w:t>
      </w:r>
    </w:p>
    <w:p w:rsidR="00BD73BC" w:rsidRPr="00B42542" w:rsidRDefault="00BD73BC" w:rsidP="00D17C08">
      <w:pPr>
        <w:numPr>
          <w:ilvl w:val="0"/>
          <w:numId w:val="26"/>
        </w:numPr>
        <w:spacing w:after="180"/>
        <w:rPr>
          <w:rFonts w:eastAsia="Calibri"/>
        </w:rPr>
      </w:pPr>
      <w:r>
        <w:rPr>
          <w:rFonts w:eastAsia="Calibri"/>
        </w:rPr>
        <w:t>HUD required p</w:t>
      </w:r>
      <w:r w:rsidRPr="00B42542">
        <w:rPr>
          <w:rFonts w:eastAsia="Calibri"/>
        </w:rPr>
        <w:t>roject applicants to provide a description of the project</w:t>
      </w:r>
      <w:r>
        <w:rPr>
          <w:rFonts w:eastAsia="Calibri"/>
        </w:rPr>
        <w:t>, which</w:t>
      </w:r>
      <w:r w:rsidRPr="00B42542">
        <w:rPr>
          <w:rFonts w:eastAsia="Calibri"/>
        </w:rPr>
        <w:t xml:space="preserve"> should have </w:t>
      </w:r>
      <w:r>
        <w:rPr>
          <w:rFonts w:eastAsia="Calibri"/>
        </w:rPr>
        <w:t>described</w:t>
      </w:r>
      <w:r w:rsidRPr="00B42542">
        <w:rPr>
          <w:rFonts w:eastAsia="Calibri"/>
        </w:rPr>
        <w:t xml:space="preserve"> the entire scope of the proposed project and fully answered the question as outlined by the Project Application Detailed Instructions.</w:t>
      </w:r>
    </w:p>
    <w:p w:rsidR="00BD73BC" w:rsidRPr="00B42542" w:rsidRDefault="00BD73BC" w:rsidP="00D17C08">
      <w:pPr>
        <w:numPr>
          <w:ilvl w:val="0"/>
          <w:numId w:val="26"/>
        </w:numPr>
        <w:spacing w:after="180"/>
        <w:rPr>
          <w:rFonts w:eastAsia="Calibri"/>
        </w:rPr>
      </w:pPr>
      <w:r w:rsidRPr="00B42542">
        <w:rPr>
          <w:rFonts w:eastAsia="Calibri"/>
        </w:rPr>
        <w:t>Project applicants frequently listed ineligible costs or failed to provide sufficient detail in the Quantity and Detail column of the supportive services, operating, and HMIS budgets for HUD to make an affirmative determination that awarded funds will be spent appropriately.  This resulted in numerous conditions placed on projects and, occasionally, the removal of project funds.</w:t>
      </w:r>
    </w:p>
    <w:p w:rsidR="00BD73BC" w:rsidRPr="00B42542" w:rsidRDefault="00BD73BC" w:rsidP="00D17C08">
      <w:pPr>
        <w:pStyle w:val="ListParagraph"/>
        <w:numPr>
          <w:ilvl w:val="0"/>
          <w:numId w:val="26"/>
        </w:numPr>
        <w:autoSpaceDE w:val="0"/>
        <w:autoSpaceDN w:val="0"/>
        <w:adjustRightInd w:val="0"/>
        <w:spacing w:after="180"/>
        <w:contextualSpacing w:val="0"/>
        <w:rPr>
          <w:rFonts w:eastAsia="Calibri"/>
        </w:rPr>
      </w:pPr>
      <w:r w:rsidRPr="00B42542">
        <w:rPr>
          <w:rFonts w:eastAsia="Calibri"/>
        </w:rPr>
        <w:t xml:space="preserve">Project applications that indicated they would serve persons defined as homeless under paragraph (3) of the definition of homeless in 24 CFR 583.5 were conditioned and required to confirm that the project(s) will only serve persons who are </w:t>
      </w:r>
      <w:r>
        <w:rPr>
          <w:rFonts w:eastAsia="Calibri"/>
        </w:rPr>
        <w:t>eligible</w:t>
      </w:r>
      <w:r w:rsidRPr="00B42542">
        <w:rPr>
          <w:rFonts w:eastAsia="Calibri"/>
        </w:rPr>
        <w:t xml:space="preserve">.  </w:t>
      </w:r>
    </w:p>
    <w:p w:rsidR="00BD73BC" w:rsidRPr="00B42542" w:rsidRDefault="00BD73BC" w:rsidP="00D17C08">
      <w:pPr>
        <w:pStyle w:val="ListParagraph"/>
        <w:numPr>
          <w:ilvl w:val="0"/>
          <w:numId w:val="26"/>
        </w:numPr>
        <w:autoSpaceDE w:val="0"/>
        <w:autoSpaceDN w:val="0"/>
        <w:adjustRightInd w:val="0"/>
        <w:spacing w:after="180"/>
        <w:contextualSpacing w:val="0"/>
        <w:rPr>
          <w:rFonts w:eastAsia="Calibri"/>
        </w:rPr>
      </w:pPr>
      <w:r w:rsidRPr="00B42542">
        <w:rPr>
          <w:rFonts w:eastAsia="Calibri"/>
        </w:rPr>
        <w:t>New permanent housing (PSH or RRH) projects must agree that all participants will come from eligible locations:</w:t>
      </w:r>
    </w:p>
    <w:p w:rsidR="00BD73BC" w:rsidRPr="00352481" w:rsidRDefault="00BD73BC" w:rsidP="009E4637">
      <w:pPr>
        <w:autoSpaceDE w:val="0"/>
        <w:autoSpaceDN w:val="0"/>
        <w:adjustRightInd w:val="0"/>
        <w:spacing w:after="180"/>
        <w:ind w:left="1710" w:hanging="630"/>
        <w:rPr>
          <w:rFonts w:eastAsia="Calibri"/>
        </w:rPr>
      </w:pPr>
      <w:r w:rsidRPr="00352481">
        <w:rPr>
          <w:rFonts w:eastAsia="Calibri"/>
          <w:b/>
        </w:rPr>
        <w:t>PSH participants</w:t>
      </w:r>
      <w:r w:rsidRPr="00352481">
        <w:rPr>
          <w:rFonts w:eastAsia="Calibri"/>
        </w:rPr>
        <w:t xml:space="preserve"> may only come from the streets, other places not meant for human habitation, emergency shelters, or safe havens.</w:t>
      </w:r>
    </w:p>
    <w:p w:rsidR="00BD73BC" w:rsidRDefault="00BD73BC" w:rsidP="009E4637">
      <w:pPr>
        <w:autoSpaceDE w:val="0"/>
        <w:autoSpaceDN w:val="0"/>
        <w:adjustRightInd w:val="0"/>
        <w:spacing w:after="180"/>
        <w:ind w:left="1710" w:hanging="630"/>
        <w:rPr>
          <w:rFonts w:eastAsia="Calibri"/>
        </w:rPr>
      </w:pPr>
      <w:r w:rsidRPr="00352481">
        <w:rPr>
          <w:rFonts w:eastAsia="Calibri"/>
          <w:b/>
        </w:rPr>
        <w:t>RRH participants</w:t>
      </w:r>
      <w:r w:rsidRPr="00352481">
        <w:rPr>
          <w:rFonts w:eastAsia="Calibri"/>
        </w:rPr>
        <w:t xml:space="preserve"> may only come from the streets, emergency shelters, or fleeing domestic violence, including victims of human trafficking.</w:t>
      </w:r>
    </w:p>
    <w:p w:rsidR="00BD73BC" w:rsidRPr="00B42542" w:rsidRDefault="00BD73BC" w:rsidP="00D17C08">
      <w:pPr>
        <w:pStyle w:val="ListParagraph"/>
        <w:numPr>
          <w:ilvl w:val="0"/>
          <w:numId w:val="26"/>
        </w:numPr>
        <w:autoSpaceDE w:val="0"/>
        <w:autoSpaceDN w:val="0"/>
        <w:adjustRightInd w:val="0"/>
        <w:spacing w:after="180"/>
        <w:contextualSpacing w:val="0"/>
        <w:rPr>
          <w:rFonts w:eastAsia="Calibri"/>
        </w:rPr>
      </w:pPr>
      <w:r>
        <w:rPr>
          <w:rFonts w:eastAsia="Calibri"/>
        </w:rPr>
        <w:t>HUD required p</w:t>
      </w:r>
      <w:r w:rsidRPr="00B42542">
        <w:rPr>
          <w:rFonts w:eastAsia="Calibri"/>
        </w:rPr>
        <w:t>roject applicants to either maintain or increase the number of beds dedicated to serving persons experiencing chronic homelessness</w:t>
      </w:r>
      <w:r>
        <w:rPr>
          <w:rFonts w:eastAsia="Calibri"/>
        </w:rPr>
        <w:t xml:space="preserve">.  HUD </w:t>
      </w:r>
      <w:r w:rsidRPr="00B42542">
        <w:rPr>
          <w:rFonts w:eastAsia="Calibri"/>
        </w:rPr>
        <w:t xml:space="preserve">conditioned </w:t>
      </w:r>
      <w:r>
        <w:rPr>
          <w:rFonts w:eastAsia="Calibri"/>
        </w:rPr>
        <w:t xml:space="preserve">projects </w:t>
      </w:r>
      <w:r w:rsidRPr="00B42542">
        <w:rPr>
          <w:rFonts w:eastAsia="Calibri"/>
        </w:rPr>
        <w:t>if the number included in the application was less than the number dedicated in the FY 2014 application or if the number was less than the total number of beds for those projects required to only serve persons experiencing chronic homelessness.</w:t>
      </w:r>
    </w:p>
    <w:p w:rsidR="00FF7998" w:rsidRPr="00B42542" w:rsidRDefault="00FF7998" w:rsidP="009E4637">
      <w:pPr>
        <w:keepNext/>
        <w:spacing w:before="240" w:after="180"/>
        <w:outlineLvl w:val="0"/>
        <w:rPr>
          <w:b/>
          <w:u w:val="single"/>
        </w:rPr>
      </w:pPr>
    </w:p>
    <w:sectPr w:rsidR="00FF7998" w:rsidRPr="00B42542" w:rsidSect="00D15FCD">
      <w:headerReference w:type="default" r:id="rId8"/>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3AA6" w:rsidRDefault="00BD3AA6" w:rsidP="004466B1">
      <w:r>
        <w:separator/>
      </w:r>
    </w:p>
  </w:endnote>
  <w:endnote w:type="continuationSeparator" w:id="0">
    <w:p w:rsidR="00BD3AA6" w:rsidRDefault="00BD3AA6" w:rsidP="00446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Bold">
    <w:panose1 w:val="02020803070505020304"/>
    <w:charset w:val="00"/>
    <w:family w:val="auto"/>
    <w:pitch w:val="variable"/>
    <w:sig w:usb0="E0002AE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A28" w:rsidRDefault="00625A28">
    <w:pPr>
      <w:pStyle w:val="Footer"/>
      <w:jc w:val="right"/>
    </w:pPr>
    <w:r>
      <w:t xml:space="preserve">Page | </w:t>
    </w:r>
    <w:r>
      <w:fldChar w:fldCharType="begin"/>
    </w:r>
    <w:r>
      <w:instrText xml:space="preserve"> PAGE   \* MERGEFORMAT </w:instrText>
    </w:r>
    <w:r>
      <w:fldChar w:fldCharType="separate"/>
    </w:r>
    <w:r w:rsidR="00075490">
      <w:rPr>
        <w:noProof/>
      </w:rPr>
      <w:t>2</w:t>
    </w:r>
    <w:r>
      <w:fldChar w:fldCharType="end"/>
    </w:r>
    <w:r>
      <w:t xml:space="preserve"> </w:t>
    </w:r>
  </w:p>
  <w:p w:rsidR="00625A28" w:rsidRDefault="00625A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3AA6" w:rsidRDefault="00BD3AA6" w:rsidP="004466B1">
      <w:r>
        <w:separator/>
      </w:r>
    </w:p>
  </w:footnote>
  <w:footnote w:type="continuationSeparator" w:id="0">
    <w:p w:rsidR="00BD3AA6" w:rsidRDefault="00BD3AA6" w:rsidP="004466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7225"/>
      <w:gridCol w:w="2365"/>
    </w:tblGrid>
    <w:tr w:rsidR="00625A28" w:rsidTr="00967CC9">
      <w:trPr>
        <w:trHeight w:val="288"/>
      </w:trPr>
      <w:tc>
        <w:tcPr>
          <w:tcW w:w="7225" w:type="dxa"/>
        </w:tcPr>
        <w:p w:rsidR="00625A28" w:rsidRDefault="00625A28" w:rsidP="00D15FCD">
          <w:pPr>
            <w:pStyle w:val="Header"/>
            <w:jc w:val="right"/>
            <w:rPr>
              <w:rFonts w:eastAsia="Calibri"/>
              <w:b/>
              <w:bCs/>
              <w:sz w:val="28"/>
              <w:szCs w:val="28"/>
            </w:rPr>
          </w:pPr>
          <w:r>
            <w:rPr>
              <w:rFonts w:eastAsia="Calibri"/>
              <w:b/>
              <w:bCs/>
              <w:sz w:val="28"/>
              <w:szCs w:val="28"/>
            </w:rPr>
            <w:t xml:space="preserve">                                </w:t>
          </w:r>
          <w:r w:rsidRPr="00B23E26">
            <w:rPr>
              <w:rFonts w:eastAsia="Calibri"/>
              <w:b/>
              <w:bCs/>
              <w:sz w:val="28"/>
              <w:szCs w:val="28"/>
            </w:rPr>
            <w:t>C</w:t>
          </w:r>
          <w:r>
            <w:rPr>
              <w:rFonts w:eastAsia="Calibri"/>
              <w:b/>
              <w:bCs/>
              <w:sz w:val="28"/>
              <w:szCs w:val="28"/>
            </w:rPr>
            <w:t>ontinuum of Care Program</w:t>
          </w:r>
        </w:p>
        <w:p w:rsidR="00625A28" w:rsidRDefault="00625A28" w:rsidP="00D15FCD">
          <w:pPr>
            <w:pStyle w:val="Header"/>
            <w:jc w:val="right"/>
            <w:rPr>
              <w:rFonts w:ascii="Cambria" w:hAnsi="Cambria"/>
              <w:sz w:val="36"/>
              <w:szCs w:val="36"/>
            </w:rPr>
          </w:pPr>
          <w:r>
            <w:rPr>
              <w:rFonts w:eastAsia="Calibri"/>
              <w:b/>
              <w:bCs/>
              <w:sz w:val="28"/>
              <w:szCs w:val="28"/>
            </w:rPr>
            <w:t xml:space="preserve"> Competition</w:t>
          </w:r>
          <w:r w:rsidRPr="00B23E26">
            <w:rPr>
              <w:rFonts w:eastAsia="Calibri"/>
              <w:b/>
              <w:bCs/>
              <w:sz w:val="28"/>
              <w:szCs w:val="28"/>
            </w:rPr>
            <w:t xml:space="preserve"> D</w:t>
          </w:r>
          <w:r>
            <w:rPr>
              <w:rFonts w:eastAsia="Calibri"/>
              <w:b/>
              <w:bCs/>
              <w:sz w:val="28"/>
              <w:szCs w:val="28"/>
            </w:rPr>
            <w:t>ebriefing</w:t>
          </w:r>
        </w:p>
      </w:tc>
      <w:tc>
        <w:tcPr>
          <w:tcW w:w="2365" w:type="dxa"/>
        </w:tcPr>
        <w:p w:rsidR="00625A28" w:rsidRPr="00563048" w:rsidRDefault="00625A28" w:rsidP="00C204A3">
          <w:pPr>
            <w:pStyle w:val="Header"/>
            <w:rPr>
              <w:rFonts w:ascii="Cambria" w:hAnsi="Cambria"/>
              <w:b/>
              <w:bCs/>
              <w:sz w:val="36"/>
              <w:szCs w:val="36"/>
            </w:rPr>
          </w:pPr>
          <w:r>
            <w:rPr>
              <w:rFonts w:ascii="Cambria" w:hAnsi="Cambria"/>
              <w:b/>
              <w:bCs/>
              <w:sz w:val="36"/>
              <w:szCs w:val="36"/>
            </w:rPr>
            <w:t>FY 2015</w:t>
          </w:r>
        </w:p>
      </w:tc>
    </w:tr>
  </w:tbl>
  <w:p w:rsidR="00625A28" w:rsidRDefault="00625A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1555"/>
      <w:gridCol w:w="8035"/>
    </w:tblGrid>
    <w:tr w:rsidR="00625A28" w:rsidTr="00690C44">
      <w:trPr>
        <w:trHeight w:val="288"/>
      </w:trPr>
      <w:tc>
        <w:tcPr>
          <w:tcW w:w="1555" w:type="dxa"/>
        </w:tcPr>
        <w:p w:rsidR="00625A28" w:rsidRDefault="00625A28" w:rsidP="00690C44">
          <w:pPr>
            <w:pStyle w:val="Header"/>
            <w:jc w:val="right"/>
            <w:rPr>
              <w:rFonts w:ascii="Cambria" w:hAnsi="Cambria"/>
              <w:sz w:val="36"/>
              <w:szCs w:val="36"/>
            </w:rPr>
          </w:pPr>
          <w:r>
            <w:rPr>
              <w:rFonts w:eastAsia="Calibri"/>
              <w:b/>
              <w:bCs/>
              <w:noProof/>
              <w:sz w:val="28"/>
              <w:szCs w:val="28"/>
            </w:rPr>
            <w:drawing>
              <wp:inline distT="0" distB="0" distL="0" distR="0" wp14:anchorId="2BBD5F44" wp14:editId="1AFC70FF">
                <wp:extent cx="797560" cy="797560"/>
                <wp:effectExtent l="0" t="0" r="2540" b="2540"/>
                <wp:docPr id="1" name="Picture 1" descr="hu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dse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7560" cy="797560"/>
                        </a:xfrm>
                        <a:prstGeom prst="rect">
                          <a:avLst/>
                        </a:prstGeom>
                        <a:noFill/>
                        <a:ln>
                          <a:noFill/>
                        </a:ln>
                      </pic:spPr>
                    </pic:pic>
                  </a:graphicData>
                </a:graphic>
              </wp:inline>
            </w:drawing>
          </w:r>
          <w:r>
            <w:rPr>
              <w:rFonts w:eastAsia="Calibri"/>
              <w:b/>
              <w:bCs/>
              <w:sz w:val="28"/>
              <w:szCs w:val="28"/>
            </w:rPr>
            <w:t xml:space="preserve">                                </w:t>
          </w:r>
        </w:p>
      </w:tc>
      <w:tc>
        <w:tcPr>
          <w:tcW w:w="8035" w:type="dxa"/>
        </w:tcPr>
        <w:p w:rsidR="00625A28" w:rsidRDefault="00625A28" w:rsidP="00690C44">
          <w:pPr>
            <w:pStyle w:val="Header"/>
            <w:jc w:val="right"/>
            <w:rPr>
              <w:rFonts w:ascii="Cambria" w:hAnsi="Cambria"/>
              <w:b/>
              <w:bCs/>
              <w:sz w:val="36"/>
              <w:szCs w:val="36"/>
            </w:rPr>
          </w:pPr>
        </w:p>
        <w:p w:rsidR="00625A28" w:rsidRDefault="00625A28" w:rsidP="00690C44">
          <w:pPr>
            <w:pStyle w:val="Header"/>
            <w:jc w:val="right"/>
            <w:rPr>
              <w:rFonts w:ascii="Cambria" w:hAnsi="Cambria"/>
              <w:b/>
              <w:bCs/>
              <w:sz w:val="36"/>
              <w:szCs w:val="36"/>
            </w:rPr>
          </w:pPr>
        </w:p>
        <w:p w:rsidR="00625A28" w:rsidRPr="00563048" w:rsidRDefault="00625A28" w:rsidP="00690C44">
          <w:pPr>
            <w:pStyle w:val="Header"/>
            <w:jc w:val="right"/>
            <w:rPr>
              <w:rFonts w:ascii="Cambria" w:hAnsi="Cambria"/>
              <w:b/>
              <w:bCs/>
              <w:sz w:val="36"/>
              <w:szCs w:val="36"/>
            </w:rPr>
          </w:pPr>
          <w:r>
            <w:rPr>
              <w:rFonts w:ascii="Cambria" w:hAnsi="Cambria"/>
              <w:b/>
              <w:bCs/>
              <w:sz w:val="36"/>
              <w:szCs w:val="36"/>
            </w:rPr>
            <w:t>FY 2015</w:t>
          </w:r>
          <w:r w:rsidRPr="00B23E26">
            <w:rPr>
              <w:rFonts w:eastAsia="Calibri"/>
              <w:b/>
              <w:bCs/>
              <w:sz w:val="28"/>
              <w:szCs w:val="28"/>
            </w:rPr>
            <w:t xml:space="preserve"> C</w:t>
          </w:r>
          <w:r>
            <w:rPr>
              <w:rFonts w:eastAsia="Calibri"/>
              <w:b/>
              <w:bCs/>
              <w:sz w:val="28"/>
              <w:szCs w:val="28"/>
            </w:rPr>
            <w:t>ontinuum of Care Program Competition</w:t>
          </w:r>
          <w:r w:rsidRPr="00B23E26">
            <w:rPr>
              <w:rFonts w:eastAsia="Calibri"/>
              <w:b/>
              <w:bCs/>
              <w:sz w:val="28"/>
              <w:szCs w:val="28"/>
            </w:rPr>
            <w:t xml:space="preserve"> D</w:t>
          </w:r>
          <w:r>
            <w:rPr>
              <w:rFonts w:eastAsia="Calibri"/>
              <w:b/>
              <w:bCs/>
              <w:sz w:val="28"/>
              <w:szCs w:val="28"/>
            </w:rPr>
            <w:t>ebriefing</w:t>
          </w:r>
        </w:p>
      </w:tc>
    </w:tr>
  </w:tbl>
  <w:p w:rsidR="00625A28" w:rsidRDefault="00625A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A518C"/>
    <w:multiLevelType w:val="multilevel"/>
    <w:tmpl w:val="B25E45BE"/>
    <w:lvl w:ilvl="0">
      <w:start w:val="1"/>
      <w:numFmt w:val="decimal"/>
      <w:lvlText w:val="%1."/>
      <w:lvlJc w:val="left"/>
      <w:pPr>
        <w:tabs>
          <w:tab w:val="num" w:pos="720"/>
        </w:tabs>
        <w:ind w:left="720" w:hanging="360"/>
      </w:pPr>
      <w:rPr>
        <w:rFonts w:ascii="Times New Roman Bold" w:hAnsi="Times New Roman Bold" w:hint="default"/>
        <w:b/>
        <w:i w:val="0"/>
        <w:sz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81FAB"/>
    <w:multiLevelType w:val="multilevel"/>
    <w:tmpl w:val="9C6413D4"/>
    <w:lvl w:ilvl="0">
      <w:start w:val="1"/>
      <w:numFmt w:val="decimal"/>
      <w:lvlText w:val="%1."/>
      <w:lvlJc w:val="left"/>
      <w:pPr>
        <w:tabs>
          <w:tab w:val="num" w:pos="720"/>
        </w:tabs>
        <w:ind w:left="720" w:hanging="360"/>
      </w:pPr>
      <w:rPr>
        <w:rFonts w:ascii="Times New Roman Bold" w:hAnsi="Times New Roman Bold" w:hint="default"/>
        <w:b/>
        <w:i w:val="0"/>
        <w:sz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80648A"/>
    <w:multiLevelType w:val="hybridMultilevel"/>
    <w:tmpl w:val="FC201C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932DF6"/>
    <w:multiLevelType w:val="hybridMultilevel"/>
    <w:tmpl w:val="C366A25A"/>
    <w:lvl w:ilvl="0" w:tplc="6C7652D8">
      <w:start w:val="1"/>
      <w:numFmt w:val="decimal"/>
      <w:lvlText w:val="%1."/>
      <w:lvlJc w:val="left"/>
      <w:pPr>
        <w:ind w:left="720" w:hanging="360"/>
      </w:pPr>
      <w:rPr>
        <w:rFonts w:ascii="Times New Roman Bold" w:hAnsi="Times New Roman Bold"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C96EBE"/>
    <w:multiLevelType w:val="hybridMultilevel"/>
    <w:tmpl w:val="BE30F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CC68C9"/>
    <w:multiLevelType w:val="hybridMultilevel"/>
    <w:tmpl w:val="8F2AB640"/>
    <w:lvl w:ilvl="0" w:tplc="6C7652D8">
      <w:start w:val="1"/>
      <w:numFmt w:val="decimal"/>
      <w:lvlText w:val="%1."/>
      <w:lvlJc w:val="left"/>
      <w:pPr>
        <w:ind w:left="1080" w:hanging="360"/>
      </w:pPr>
      <w:rPr>
        <w:rFonts w:ascii="Times New Roman Bold" w:hAnsi="Times New Roman Bold" w:hint="default"/>
        <w:b/>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3513FE4"/>
    <w:multiLevelType w:val="hybridMultilevel"/>
    <w:tmpl w:val="C366A25A"/>
    <w:lvl w:ilvl="0" w:tplc="6C7652D8">
      <w:start w:val="1"/>
      <w:numFmt w:val="decimal"/>
      <w:lvlText w:val="%1."/>
      <w:lvlJc w:val="left"/>
      <w:pPr>
        <w:ind w:left="720" w:hanging="360"/>
      </w:pPr>
      <w:rPr>
        <w:rFonts w:ascii="Times New Roman Bold" w:hAnsi="Times New Roman Bold"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D079CA"/>
    <w:multiLevelType w:val="hybridMultilevel"/>
    <w:tmpl w:val="30D2344E"/>
    <w:lvl w:ilvl="0" w:tplc="6C7652D8">
      <w:start w:val="1"/>
      <w:numFmt w:val="decimal"/>
      <w:lvlText w:val="%1."/>
      <w:lvlJc w:val="left"/>
      <w:pPr>
        <w:ind w:left="720" w:hanging="360"/>
      </w:pPr>
      <w:rPr>
        <w:rFonts w:ascii="Times New Roman Bold" w:hAnsi="Times New Roman Bold" w:hint="default"/>
        <w:b/>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0D5EE7"/>
    <w:multiLevelType w:val="hybridMultilevel"/>
    <w:tmpl w:val="2DE27D1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F07038"/>
    <w:multiLevelType w:val="hybridMultilevel"/>
    <w:tmpl w:val="C9BCC066"/>
    <w:lvl w:ilvl="0" w:tplc="6C7652D8">
      <w:start w:val="1"/>
      <w:numFmt w:val="decimal"/>
      <w:lvlText w:val="%1."/>
      <w:lvlJc w:val="left"/>
      <w:pPr>
        <w:ind w:left="780" w:hanging="360"/>
      </w:pPr>
      <w:rPr>
        <w:rFonts w:ascii="Times New Roman Bold" w:hAnsi="Times New Roman Bold" w:hint="default"/>
        <w:b/>
        <w:i w:val="0"/>
        <w:sz w:val="24"/>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2C3F296F"/>
    <w:multiLevelType w:val="hybridMultilevel"/>
    <w:tmpl w:val="E8DE3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901CF3"/>
    <w:multiLevelType w:val="hybridMultilevel"/>
    <w:tmpl w:val="8EC246E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3625DE"/>
    <w:multiLevelType w:val="hybridMultilevel"/>
    <w:tmpl w:val="BC360572"/>
    <w:lvl w:ilvl="0" w:tplc="098CBBF6">
      <w:start w:val="1"/>
      <w:numFmt w:val="bullet"/>
      <w:lvlText w:val="•"/>
      <w:lvlJc w:val="left"/>
      <w:pPr>
        <w:ind w:left="360" w:hanging="360"/>
      </w:pPr>
      <w:rPr>
        <w:rFonts w:ascii="Calibri" w:hAnsi="Calibri" w:hint="default"/>
      </w:rPr>
    </w:lvl>
    <w:lvl w:ilvl="1" w:tplc="6C7652D8">
      <w:start w:val="1"/>
      <w:numFmt w:val="decimal"/>
      <w:lvlText w:val="%2."/>
      <w:lvlJc w:val="left"/>
      <w:pPr>
        <w:ind w:left="1080" w:hanging="360"/>
      </w:pPr>
      <w:rPr>
        <w:rFonts w:ascii="Times New Roman Bold" w:hAnsi="Times New Roman Bold" w:hint="default"/>
        <w:b/>
        <w:i w:val="0"/>
        <w:sz w:val="24"/>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96348ED"/>
    <w:multiLevelType w:val="hybridMultilevel"/>
    <w:tmpl w:val="D91E16BC"/>
    <w:lvl w:ilvl="0" w:tplc="6C7652D8">
      <w:start w:val="1"/>
      <w:numFmt w:val="decimal"/>
      <w:lvlText w:val="%1."/>
      <w:lvlJc w:val="left"/>
      <w:pPr>
        <w:ind w:left="720" w:hanging="360"/>
      </w:pPr>
      <w:rPr>
        <w:rFonts w:ascii="Times New Roman Bold" w:hAnsi="Times New Roman Bold" w:hint="default"/>
        <w:b/>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B3152C"/>
    <w:multiLevelType w:val="multilevel"/>
    <w:tmpl w:val="9C6413D4"/>
    <w:lvl w:ilvl="0">
      <w:start w:val="1"/>
      <w:numFmt w:val="decimal"/>
      <w:lvlText w:val="%1."/>
      <w:lvlJc w:val="left"/>
      <w:pPr>
        <w:tabs>
          <w:tab w:val="num" w:pos="720"/>
        </w:tabs>
        <w:ind w:left="720" w:hanging="360"/>
      </w:pPr>
      <w:rPr>
        <w:rFonts w:ascii="Times New Roman Bold" w:hAnsi="Times New Roman Bold" w:hint="default"/>
        <w:b/>
        <w:i w:val="0"/>
        <w:sz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126686"/>
    <w:multiLevelType w:val="hybridMultilevel"/>
    <w:tmpl w:val="051EA9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A736B01"/>
    <w:multiLevelType w:val="hybridMultilevel"/>
    <w:tmpl w:val="D94CDB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690BFB"/>
    <w:multiLevelType w:val="hybridMultilevel"/>
    <w:tmpl w:val="8D30E1A8"/>
    <w:lvl w:ilvl="0" w:tplc="6C7652D8">
      <w:start w:val="1"/>
      <w:numFmt w:val="decimal"/>
      <w:lvlText w:val="%1."/>
      <w:lvlJc w:val="left"/>
      <w:pPr>
        <w:ind w:left="720" w:hanging="360"/>
      </w:pPr>
      <w:rPr>
        <w:rFonts w:ascii="Times New Roman Bold" w:hAnsi="Times New Roman Bold" w:hint="default"/>
        <w:b/>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563CC1"/>
    <w:multiLevelType w:val="hybridMultilevel"/>
    <w:tmpl w:val="EC5C1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8972CB"/>
    <w:multiLevelType w:val="hybridMultilevel"/>
    <w:tmpl w:val="2AF08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DB2609"/>
    <w:multiLevelType w:val="hybridMultilevel"/>
    <w:tmpl w:val="C852A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27789B"/>
    <w:multiLevelType w:val="hybridMultilevel"/>
    <w:tmpl w:val="23409CDE"/>
    <w:lvl w:ilvl="0" w:tplc="6C7652D8">
      <w:start w:val="1"/>
      <w:numFmt w:val="decimal"/>
      <w:lvlText w:val="%1."/>
      <w:lvlJc w:val="left"/>
      <w:pPr>
        <w:ind w:left="1080" w:hanging="360"/>
      </w:pPr>
      <w:rPr>
        <w:rFonts w:ascii="Times New Roman Bold" w:hAnsi="Times New Roman Bold" w:hint="default"/>
        <w:b/>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F923B30"/>
    <w:multiLevelType w:val="hybridMultilevel"/>
    <w:tmpl w:val="C29C6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997D83"/>
    <w:multiLevelType w:val="multilevel"/>
    <w:tmpl w:val="9C6413D4"/>
    <w:lvl w:ilvl="0">
      <w:start w:val="1"/>
      <w:numFmt w:val="decimal"/>
      <w:lvlText w:val="%1."/>
      <w:lvlJc w:val="left"/>
      <w:pPr>
        <w:tabs>
          <w:tab w:val="num" w:pos="720"/>
        </w:tabs>
        <w:ind w:left="720" w:hanging="360"/>
      </w:pPr>
      <w:rPr>
        <w:rFonts w:ascii="Times New Roman Bold" w:hAnsi="Times New Roman Bold" w:hint="default"/>
        <w:b/>
        <w:i w:val="0"/>
        <w:sz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692FF8"/>
    <w:multiLevelType w:val="hybridMultilevel"/>
    <w:tmpl w:val="9092B9AE"/>
    <w:lvl w:ilvl="0" w:tplc="DFAC884C">
      <w:start w:val="1"/>
      <w:numFmt w:val="upperRoman"/>
      <w:pStyle w:val="Heading1"/>
      <w:lvlText w:val="%1."/>
      <w:lvlJc w:val="left"/>
      <w:pPr>
        <w:ind w:left="360" w:hanging="360"/>
      </w:pPr>
      <w:rPr>
        <w:rFonts w:ascii="Times New Roman" w:hAnsi="Times New Roman" w:hint="default"/>
        <w:b/>
        <w:i w:val="0"/>
        <w:sz w:val="2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A491617"/>
    <w:multiLevelType w:val="hybridMultilevel"/>
    <w:tmpl w:val="6D188DDE"/>
    <w:lvl w:ilvl="0" w:tplc="6C7652D8">
      <w:start w:val="1"/>
      <w:numFmt w:val="decimal"/>
      <w:lvlText w:val="%1."/>
      <w:lvlJc w:val="left"/>
      <w:pPr>
        <w:ind w:left="900" w:hanging="360"/>
      </w:pPr>
      <w:rPr>
        <w:rFonts w:ascii="Times New Roman Bold" w:hAnsi="Times New Roman Bold" w:hint="default"/>
        <w:b/>
        <w:i w:val="0"/>
        <w:sz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
  </w:num>
  <w:num w:numId="2">
    <w:abstractNumId w:val="10"/>
  </w:num>
  <w:num w:numId="3">
    <w:abstractNumId w:val="2"/>
  </w:num>
  <w:num w:numId="4">
    <w:abstractNumId w:val="16"/>
  </w:num>
  <w:num w:numId="5">
    <w:abstractNumId w:val="25"/>
  </w:num>
  <w:num w:numId="6">
    <w:abstractNumId w:val="15"/>
  </w:num>
  <w:num w:numId="7">
    <w:abstractNumId w:val="8"/>
  </w:num>
  <w:num w:numId="8">
    <w:abstractNumId w:val="22"/>
  </w:num>
  <w:num w:numId="9">
    <w:abstractNumId w:val="20"/>
  </w:num>
  <w:num w:numId="10">
    <w:abstractNumId w:val="18"/>
  </w:num>
  <w:num w:numId="11">
    <w:abstractNumId w:val="24"/>
  </w:num>
  <w:num w:numId="12">
    <w:abstractNumId w:val="12"/>
  </w:num>
  <w:num w:numId="13">
    <w:abstractNumId w:val="23"/>
  </w:num>
  <w:num w:numId="14">
    <w:abstractNumId w:val="14"/>
  </w:num>
  <w:num w:numId="15">
    <w:abstractNumId w:val="5"/>
  </w:num>
  <w:num w:numId="16">
    <w:abstractNumId w:val="13"/>
  </w:num>
  <w:num w:numId="17">
    <w:abstractNumId w:val="17"/>
  </w:num>
  <w:num w:numId="18">
    <w:abstractNumId w:val="9"/>
  </w:num>
  <w:num w:numId="19">
    <w:abstractNumId w:val="4"/>
  </w:num>
  <w:num w:numId="20">
    <w:abstractNumId w:val="3"/>
  </w:num>
  <w:num w:numId="21">
    <w:abstractNumId w:val="6"/>
  </w:num>
  <w:num w:numId="22">
    <w:abstractNumId w:val="21"/>
  </w:num>
  <w:num w:numId="23">
    <w:abstractNumId w:val="11"/>
  </w:num>
  <w:num w:numId="24">
    <w:abstractNumId w:val="19"/>
  </w:num>
  <w:num w:numId="25">
    <w:abstractNumId w:val="7"/>
  </w:num>
  <w:num w:numId="26">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ctiveWritingStyle w:appName="MSWord" w:lang="en-US" w:vendorID="64" w:dllVersion="131078" w:nlCheck="1" w:checkStyle="0"/>
  <w:revisionView w:inkAnnotations="0"/>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9DC"/>
    <w:rsid w:val="000066B5"/>
    <w:rsid w:val="00012212"/>
    <w:rsid w:val="00017788"/>
    <w:rsid w:val="000221C0"/>
    <w:rsid w:val="00023D99"/>
    <w:rsid w:val="0002614E"/>
    <w:rsid w:val="00042ED4"/>
    <w:rsid w:val="00042F87"/>
    <w:rsid w:val="00045FBE"/>
    <w:rsid w:val="00047E34"/>
    <w:rsid w:val="000512AF"/>
    <w:rsid w:val="00054288"/>
    <w:rsid w:val="00057A72"/>
    <w:rsid w:val="000668F0"/>
    <w:rsid w:val="0006782F"/>
    <w:rsid w:val="0007361A"/>
    <w:rsid w:val="00075490"/>
    <w:rsid w:val="0007793C"/>
    <w:rsid w:val="0008792E"/>
    <w:rsid w:val="0009066A"/>
    <w:rsid w:val="000914F3"/>
    <w:rsid w:val="000915DD"/>
    <w:rsid w:val="000978F5"/>
    <w:rsid w:val="000A0730"/>
    <w:rsid w:val="000A3D15"/>
    <w:rsid w:val="000A40B4"/>
    <w:rsid w:val="000B3385"/>
    <w:rsid w:val="000B3479"/>
    <w:rsid w:val="000C1263"/>
    <w:rsid w:val="000C2496"/>
    <w:rsid w:val="000C3BB9"/>
    <w:rsid w:val="000C44E3"/>
    <w:rsid w:val="000D0AD6"/>
    <w:rsid w:val="000D6658"/>
    <w:rsid w:val="000D7BB8"/>
    <w:rsid w:val="000E3BBD"/>
    <w:rsid w:val="000F1B2C"/>
    <w:rsid w:val="000F328D"/>
    <w:rsid w:val="00104815"/>
    <w:rsid w:val="00107F73"/>
    <w:rsid w:val="001168E3"/>
    <w:rsid w:val="001233F1"/>
    <w:rsid w:val="001325EA"/>
    <w:rsid w:val="001407A0"/>
    <w:rsid w:val="00144145"/>
    <w:rsid w:val="00144DAE"/>
    <w:rsid w:val="00145BEC"/>
    <w:rsid w:val="00150F4A"/>
    <w:rsid w:val="0015240E"/>
    <w:rsid w:val="00152F92"/>
    <w:rsid w:val="00153849"/>
    <w:rsid w:val="00161EE1"/>
    <w:rsid w:val="00166421"/>
    <w:rsid w:val="00166D10"/>
    <w:rsid w:val="00167869"/>
    <w:rsid w:val="001735E0"/>
    <w:rsid w:val="00173B2D"/>
    <w:rsid w:val="001755BB"/>
    <w:rsid w:val="00177FE1"/>
    <w:rsid w:val="0018056D"/>
    <w:rsid w:val="0019273D"/>
    <w:rsid w:val="0019348B"/>
    <w:rsid w:val="001943A0"/>
    <w:rsid w:val="001958E1"/>
    <w:rsid w:val="001A4CEE"/>
    <w:rsid w:val="001A5ECE"/>
    <w:rsid w:val="001B5AD9"/>
    <w:rsid w:val="001B70CD"/>
    <w:rsid w:val="001C062F"/>
    <w:rsid w:val="001C07D8"/>
    <w:rsid w:val="001C3685"/>
    <w:rsid w:val="001E01BE"/>
    <w:rsid w:val="001E296D"/>
    <w:rsid w:val="001F0E81"/>
    <w:rsid w:val="001F1A9D"/>
    <w:rsid w:val="001F1C20"/>
    <w:rsid w:val="001F22AE"/>
    <w:rsid w:val="001F2B78"/>
    <w:rsid w:val="00200354"/>
    <w:rsid w:val="00204229"/>
    <w:rsid w:val="002066E6"/>
    <w:rsid w:val="00207AB7"/>
    <w:rsid w:val="00237324"/>
    <w:rsid w:val="002378FC"/>
    <w:rsid w:val="00242DA7"/>
    <w:rsid w:val="0024444C"/>
    <w:rsid w:val="002452FF"/>
    <w:rsid w:val="00254FCC"/>
    <w:rsid w:val="002627F1"/>
    <w:rsid w:val="0026382A"/>
    <w:rsid w:val="002657D4"/>
    <w:rsid w:val="0027141F"/>
    <w:rsid w:val="002813FC"/>
    <w:rsid w:val="0029592A"/>
    <w:rsid w:val="0029747E"/>
    <w:rsid w:val="002A13F8"/>
    <w:rsid w:val="002B5DE4"/>
    <w:rsid w:val="002C059C"/>
    <w:rsid w:val="002C0E9C"/>
    <w:rsid w:val="002C6A7E"/>
    <w:rsid w:val="002D1A74"/>
    <w:rsid w:val="002D1AF8"/>
    <w:rsid w:val="002D6989"/>
    <w:rsid w:val="002E3735"/>
    <w:rsid w:val="002E5546"/>
    <w:rsid w:val="002F001D"/>
    <w:rsid w:val="002F3745"/>
    <w:rsid w:val="002F5D7E"/>
    <w:rsid w:val="002F7341"/>
    <w:rsid w:val="00303BC5"/>
    <w:rsid w:val="0030765B"/>
    <w:rsid w:val="0031156F"/>
    <w:rsid w:val="00314829"/>
    <w:rsid w:val="00317061"/>
    <w:rsid w:val="003260C2"/>
    <w:rsid w:val="00332B7D"/>
    <w:rsid w:val="00332D20"/>
    <w:rsid w:val="00341F45"/>
    <w:rsid w:val="00342D6B"/>
    <w:rsid w:val="0034541E"/>
    <w:rsid w:val="00352481"/>
    <w:rsid w:val="00354CA7"/>
    <w:rsid w:val="00355F45"/>
    <w:rsid w:val="00363F52"/>
    <w:rsid w:val="00367281"/>
    <w:rsid w:val="0037243D"/>
    <w:rsid w:val="0037558C"/>
    <w:rsid w:val="0039795C"/>
    <w:rsid w:val="003A1644"/>
    <w:rsid w:val="003B0BAB"/>
    <w:rsid w:val="003B6CC0"/>
    <w:rsid w:val="003D2386"/>
    <w:rsid w:val="003D5D47"/>
    <w:rsid w:val="003E27E3"/>
    <w:rsid w:val="003E28D4"/>
    <w:rsid w:val="003E6B1E"/>
    <w:rsid w:val="003E7BBB"/>
    <w:rsid w:val="003F1B96"/>
    <w:rsid w:val="003F6C68"/>
    <w:rsid w:val="003F7E3A"/>
    <w:rsid w:val="0040107F"/>
    <w:rsid w:val="00406224"/>
    <w:rsid w:val="004107BB"/>
    <w:rsid w:val="0041344A"/>
    <w:rsid w:val="00414C93"/>
    <w:rsid w:val="00416C15"/>
    <w:rsid w:val="00417354"/>
    <w:rsid w:val="00422D27"/>
    <w:rsid w:val="00424F43"/>
    <w:rsid w:val="00432274"/>
    <w:rsid w:val="0043540F"/>
    <w:rsid w:val="00436A6D"/>
    <w:rsid w:val="00441E83"/>
    <w:rsid w:val="004466B1"/>
    <w:rsid w:val="00447F6C"/>
    <w:rsid w:val="00454BAE"/>
    <w:rsid w:val="00461420"/>
    <w:rsid w:val="00462DAF"/>
    <w:rsid w:val="00471FD5"/>
    <w:rsid w:val="00475BCA"/>
    <w:rsid w:val="004772D0"/>
    <w:rsid w:val="00477B14"/>
    <w:rsid w:val="00485E5C"/>
    <w:rsid w:val="004904C2"/>
    <w:rsid w:val="00492D74"/>
    <w:rsid w:val="004936E2"/>
    <w:rsid w:val="004A4553"/>
    <w:rsid w:val="004B0190"/>
    <w:rsid w:val="004B58AD"/>
    <w:rsid w:val="004B69DA"/>
    <w:rsid w:val="004B6FE4"/>
    <w:rsid w:val="004C1D18"/>
    <w:rsid w:val="004C35E3"/>
    <w:rsid w:val="004C4EB4"/>
    <w:rsid w:val="004C56FE"/>
    <w:rsid w:val="004C631F"/>
    <w:rsid w:val="004E13DC"/>
    <w:rsid w:val="004E635A"/>
    <w:rsid w:val="004E7137"/>
    <w:rsid w:val="004F3382"/>
    <w:rsid w:val="004F3532"/>
    <w:rsid w:val="0050336E"/>
    <w:rsid w:val="00503D91"/>
    <w:rsid w:val="005064B7"/>
    <w:rsid w:val="005118BE"/>
    <w:rsid w:val="00515B97"/>
    <w:rsid w:val="00521642"/>
    <w:rsid w:val="005221A2"/>
    <w:rsid w:val="00524121"/>
    <w:rsid w:val="00527264"/>
    <w:rsid w:val="00531ECA"/>
    <w:rsid w:val="00533AED"/>
    <w:rsid w:val="00533B53"/>
    <w:rsid w:val="00540036"/>
    <w:rsid w:val="00540592"/>
    <w:rsid w:val="00542DB4"/>
    <w:rsid w:val="005455F1"/>
    <w:rsid w:val="00547B1A"/>
    <w:rsid w:val="00547ED3"/>
    <w:rsid w:val="00563048"/>
    <w:rsid w:val="00565A8C"/>
    <w:rsid w:val="0057422B"/>
    <w:rsid w:val="00574F1B"/>
    <w:rsid w:val="0057526E"/>
    <w:rsid w:val="00581B88"/>
    <w:rsid w:val="00582464"/>
    <w:rsid w:val="00584D98"/>
    <w:rsid w:val="0059676C"/>
    <w:rsid w:val="005A31C7"/>
    <w:rsid w:val="005B11D1"/>
    <w:rsid w:val="005B3F6B"/>
    <w:rsid w:val="005B7486"/>
    <w:rsid w:val="005D7339"/>
    <w:rsid w:val="005D76F3"/>
    <w:rsid w:val="005E0A9E"/>
    <w:rsid w:val="005E3B79"/>
    <w:rsid w:val="005E6160"/>
    <w:rsid w:val="005E6641"/>
    <w:rsid w:val="005F6F01"/>
    <w:rsid w:val="0060389D"/>
    <w:rsid w:val="00611881"/>
    <w:rsid w:val="00612D74"/>
    <w:rsid w:val="00615DCE"/>
    <w:rsid w:val="00625A28"/>
    <w:rsid w:val="00631289"/>
    <w:rsid w:val="00632FB3"/>
    <w:rsid w:val="006337DA"/>
    <w:rsid w:val="00637B37"/>
    <w:rsid w:val="00643ADC"/>
    <w:rsid w:val="00647A6F"/>
    <w:rsid w:val="00647E16"/>
    <w:rsid w:val="00650327"/>
    <w:rsid w:val="006523A9"/>
    <w:rsid w:val="006530B5"/>
    <w:rsid w:val="006535D1"/>
    <w:rsid w:val="00677744"/>
    <w:rsid w:val="00677B41"/>
    <w:rsid w:val="006817E1"/>
    <w:rsid w:val="006873C6"/>
    <w:rsid w:val="00690C44"/>
    <w:rsid w:val="00690ED8"/>
    <w:rsid w:val="0069396D"/>
    <w:rsid w:val="00695BCF"/>
    <w:rsid w:val="00695F66"/>
    <w:rsid w:val="006964B7"/>
    <w:rsid w:val="006A45B4"/>
    <w:rsid w:val="006A6399"/>
    <w:rsid w:val="006A67D8"/>
    <w:rsid w:val="006A6DFE"/>
    <w:rsid w:val="006B141C"/>
    <w:rsid w:val="006B7126"/>
    <w:rsid w:val="006C14D4"/>
    <w:rsid w:val="006C16B2"/>
    <w:rsid w:val="006C1B0F"/>
    <w:rsid w:val="006C7385"/>
    <w:rsid w:val="006D0810"/>
    <w:rsid w:val="006D6CD6"/>
    <w:rsid w:val="006E591B"/>
    <w:rsid w:val="006E7A18"/>
    <w:rsid w:val="0070115F"/>
    <w:rsid w:val="007038D3"/>
    <w:rsid w:val="00704431"/>
    <w:rsid w:val="007055B6"/>
    <w:rsid w:val="00705990"/>
    <w:rsid w:val="00720DBC"/>
    <w:rsid w:val="007267FC"/>
    <w:rsid w:val="0072753D"/>
    <w:rsid w:val="00730C72"/>
    <w:rsid w:val="00733CC9"/>
    <w:rsid w:val="007430D6"/>
    <w:rsid w:val="00743251"/>
    <w:rsid w:val="00746BD2"/>
    <w:rsid w:val="00747FF2"/>
    <w:rsid w:val="00752726"/>
    <w:rsid w:val="00756AA4"/>
    <w:rsid w:val="00762920"/>
    <w:rsid w:val="00764ABD"/>
    <w:rsid w:val="00764D8B"/>
    <w:rsid w:val="00766AEE"/>
    <w:rsid w:val="007719A1"/>
    <w:rsid w:val="00780EEB"/>
    <w:rsid w:val="00785C09"/>
    <w:rsid w:val="00792293"/>
    <w:rsid w:val="0079260C"/>
    <w:rsid w:val="007959ED"/>
    <w:rsid w:val="00797D6D"/>
    <w:rsid w:val="007A0D8F"/>
    <w:rsid w:val="007A41A0"/>
    <w:rsid w:val="007A4DD2"/>
    <w:rsid w:val="007A4DFD"/>
    <w:rsid w:val="007B446B"/>
    <w:rsid w:val="007B58B2"/>
    <w:rsid w:val="007C2826"/>
    <w:rsid w:val="007C7246"/>
    <w:rsid w:val="007C7E2B"/>
    <w:rsid w:val="007D6C23"/>
    <w:rsid w:val="007D7E96"/>
    <w:rsid w:val="007E19BC"/>
    <w:rsid w:val="007E7508"/>
    <w:rsid w:val="007F17E2"/>
    <w:rsid w:val="007F310F"/>
    <w:rsid w:val="008035A7"/>
    <w:rsid w:val="00806BA4"/>
    <w:rsid w:val="00810A8B"/>
    <w:rsid w:val="00820214"/>
    <w:rsid w:val="00826251"/>
    <w:rsid w:val="00833BC6"/>
    <w:rsid w:val="00834C65"/>
    <w:rsid w:val="00845968"/>
    <w:rsid w:val="008557D8"/>
    <w:rsid w:val="00855800"/>
    <w:rsid w:val="00855F66"/>
    <w:rsid w:val="0085633F"/>
    <w:rsid w:val="00865682"/>
    <w:rsid w:val="00867D1E"/>
    <w:rsid w:val="00882287"/>
    <w:rsid w:val="008865F4"/>
    <w:rsid w:val="00887179"/>
    <w:rsid w:val="0088764B"/>
    <w:rsid w:val="0089576F"/>
    <w:rsid w:val="00897484"/>
    <w:rsid w:val="008977D4"/>
    <w:rsid w:val="00897BF4"/>
    <w:rsid w:val="008A2713"/>
    <w:rsid w:val="008A33C8"/>
    <w:rsid w:val="008A3B0D"/>
    <w:rsid w:val="008C3F44"/>
    <w:rsid w:val="008C6C38"/>
    <w:rsid w:val="008D0166"/>
    <w:rsid w:val="008D3FB6"/>
    <w:rsid w:val="008D4001"/>
    <w:rsid w:val="008E0FD1"/>
    <w:rsid w:val="008E33F8"/>
    <w:rsid w:val="008E405C"/>
    <w:rsid w:val="008F1978"/>
    <w:rsid w:val="008F1A66"/>
    <w:rsid w:val="009021EF"/>
    <w:rsid w:val="0091376F"/>
    <w:rsid w:val="009248F9"/>
    <w:rsid w:val="00924F96"/>
    <w:rsid w:val="00937B1B"/>
    <w:rsid w:val="0094183F"/>
    <w:rsid w:val="009419D6"/>
    <w:rsid w:val="00944DD2"/>
    <w:rsid w:val="0094628D"/>
    <w:rsid w:val="00950425"/>
    <w:rsid w:val="0095288F"/>
    <w:rsid w:val="00963030"/>
    <w:rsid w:val="00964972"/>
    <w:rsid w:val="00967CC9"/>
    <w:rsid w:val="0097243B"/>
    <w:rsid w:val="009732B0"/>
    <w:rsid w:val="00981BCC"/>
    <w:rsid w:val="00982EFC"/>
    <w:rsid w:val="00984C41"/>
    <w:rsid w:val="00994897"/>
    <w:rsid w:val="009A51F0"/>
    <w:rsid w:val="009A6B15"/>
    <w:rsid w:val="009A6B85"/>
    <w:rsid w:val="009B0634"/>
    <w:rsid w:val="009C2FAA"/>
    <w:rsid w:val="009C46C2"/>
    <w:rsid w:val="009D0124"/>
    <w:rsid w:val="009D1A2E"/>
    <w:rsid w:val="009D5A2B"/>
    <w:rsid w:val="009D5E08"/>
    <w:rsid w:val="009E44DE"/>
    <w:rsid w:val="009E4637"/>
    <w:rsid w:val="009E4EA4"/>
    <w:rsid w:val="009F229C"/>
    <w:rsid w:val="009F380E"/>
    <w:rsid w:val="009F5998"/>
    <w:rsid w:val="00A00087"/>
    <w:rsid w:val="00A024C2"/>
    <w:rsid w:val="00A0298E"/>
    <w:rsid w:val="00A03991"/>
    <w:rsid w:val="00A071B6"/>
    <w:rsid w:val="00A112B6"/>
    <w:rsid w:val="00A26845"/>
    <w:rsid w:val="00A41241"/>
    <w:rsid w:val="00A45B5D"/>
    <w:rsid w:val="00A470C2"/>
    <w:rsid w:val="00A532FC"/>
    <w:rsid w:val="00A56136"/>
    <w:rsid w:val="00A624F2"/>
    <w:rsid w:val="00A73D63"/>
    <w:rsid w:val="00A756F5"/>
    <w:rsid w:val="00A77789"/>
    <w:rsid w:val="00A844BF"/>
    <w:rsid w:val="00A84AB6"/>
    <w:rsid w:val="00A86242"/>
    <w:rsid w:val="00A87DEC"/>
    <w:rsid w:val="00A909AD"/>
    <w:rsid w:val="00A9235C"/>
    <w:rsid w:val="00A92B57"/>
    <w:rsid w:val="00A964ED"/>
    <w:rsid w:val="00A96D85"/>
    <w:rsid w:val="00AA0772"/>
    <w:rsid w:val="00AA5842"/>
    <w:rsid w:val="00AA603B"/>
    <w:rsid w:val="00AA7C5C"/>
    <w:rsid w:val="00AB3478"/>
    <w:rsid w:val="00AB4786"/>
    <w:rsid w:val="00AB6864"/>
    <w:rsid w:val="00AC14FA"/>
    <w:rsid w:val="00AC1BBB"/>
    <w:rsid w:val="00AC26EE"/>
    <w:rsid w:val="00AC45B1"/>
    <w:rsid w:val="00AD2914"/>
    <w:rsid w:val="00AD4437"/>
    <w:rsid w:val="00AD4B5E"/>
    <w:rsid w:val="00AD75E7"/>
    <w:rsid w:val="00AF08AF"/>
    <w:rsid w:val="00AF1E20"/>
    <w:rsid w:val="00AF543C"/>
    <w:rsid w:val="00AF5AE6"/>
    <w:rsid w:val="00B003B9"/>
    <w:rsid w:val="00B01A9B"/>
    <w:rsid w:val="00B01DD8"/>
    <w:rsid w:val="00B026B0"/>
    <w:rsid w:val="00B02D84"/>
    <w:rsid w:val="00B054AD"/>
    <w:rsid w:val="00B06600"/>
    <w:rsid w:val="00B224CA"/>
    <w:rsid w:val="00B23E26"/>
    <w:rsid w:val="00B263A1"/>
    <w:rsid w:val="00B2651A"/>
    <w:rsid w:val="00B31FD9"/>
    <w:rsid w:val="00B370A8"/>
    <w:rsid w:val="00B375AE"/>
    <w:rsid w:val="00B409FF"/>
    <w:rsid w:val="00B42542"/>
    <w:rsid w:val="00B5065C"/>
    <w:rsid w:val="00B50715"/>
    <w:rsid w:val="00B528BD"/>
    <w:rsid w:val="00B60AF8"/>
    <w:rsid w:val="00B60FB2"/>
    <w:rsid w:val="00B61E85"/>
    <w:rsid w:val="00B837B7"/>
    <w:rsid w:val="00B854EC"/>
    <w:rsid w:val="00B87AE8"/>
    <w:rsid w:val="00B9478B"/>
    <w:rsid w:val="00B9509B"/>
    <w:rsid w:val="00B95809"/>
    <w:rsid w:val="00BA1D52"/>
    <w:rsid w:val="00BA36E9"/>
    <w:rsid w:val="00BA6AD5"/>
    <w:rsid w:val="00BB047F"/>
    <w:rsid w:val="00BB40F1"/>
    <w:rsid w:val="00BB524A"/>
    <w:rsid w:val="00BB60B1"/>
    <w:rsid w:val="00BB78C0"/>
    <w:rsid w:val="00BC21B4"/>
    <w:rsid w:val="00BC2FDD"/>
    <w:rsid w:val="00BC37C2"/>
    <w:rsid w:val="00BC3ED2"/>
    <w:rsid w:val="00BC4B67"/>
    <w:rsid w:val="00BC7BA3"/>
    <w:rsid w:val="00BD0465"/>
    <w:rsid w:val="00BD1E17"/>
    <w:rsid w:val="00BD244D"/>
    <w:rsid w:val="00BD3AA6"/>
    <w:rsid w:val="00BD73BC"/>
    <w:rsid w:val="00BE71A2"/>
    <w:rsid w:val="00BF070F"/>
    <w:rsid w:val="00BF1296"/>
    <w:rsid w:val="00BF5013"/>
    <w:rsid w:val="00C04F88"/>
    <w:rsid w:val="00C13E0A"/>
    <w:rsid w:val="00C14468"/>
    <w:rsid w:val="00C15508"/>
    <w:rsid w:val="00C17476"/>
    <w:rsid w:val="00C204A3"/>
    <w:rsid w:val="00C269DC"/>
    <w:rsid w:val="00C27DB6"/>
    <w:rsid w:val="00C46BFB"/>
    <w:rsid w:val="00C57EB8"/>
    <w:rsid w:val="00C61BD9"/>
    <w:rsid w:val="00C67C0F"/>
    <w:rsid w:val="00C73249"/>
    <w:rsid w:val="00C77414"/>
    <w:rsid w:val="00C94267"/>
    <w:rsid w:val="00C9552D"/>
    <w:rsid w:val="00C95FA3"/>
    <w:rsid w:val="00C96DB1"/>
    <w:rsid w:val="00CA3389"/>
    <w:rsid w:val="00CA4591"/>
    <w:rsid w:val="00CA679A"/>
    <w:rsid w:val="00CA73C7"/>
    <w:rsid w:val="00CB3CE3"/>
    <w:rsid w:val="00CB5CE2"/>
    <w:rsid w:val="00CB7CF8"/>
    <w:rsid w:val="00CC0ABE"/>
    <w:rsid w:val="00CC3A09"/>
    <w:rsid w:val="00CD2360"/>
    <w:rsid w:val="00CD2502"/>
    <w:rsid w:val="00CD3590"/>
    <w:rsid w:val="00CD4D46"/>
    <w:rsid w:val="00CD6D34"/>
    <w:rsid w:val="00CD7F97"/>
    <w:rsid w:val="00CE3C31"/>
    <w:rsid w:val="00CF1771"/>
    <w:rsid w:val="00CF65D1"/>
    <w:rsid w:val="00CF6672"/>
    <w:rsid w:val="00CF6705"/>
    <w:rsid w:val="00D057B1"/>
    <w:rsid w:val="00D065F9"/>
    <w:rsid w:val="00D11A5E"/>
    <w:rsid w:val="00D15FCD"/>
    <w:rsid w:val="00D17BBD"/>
    <w:rsid w:val="00D17C08"/>
    <w:rsid w:val="00D22919"/>
    <w:rsid w:val="00D22E16"/>
    <w:rsid w:val="00D22E53"/>
    <w:rsid w:val="00D34119"/>
    <w:rsid w:val="00D368A1"/>
    <w:rsid w:val="00D37361"/>
    <w:rsid w:val="00D449F4"/>
    <w:rsid w:val="00D5015C"/>
    <w:rsid w:val="00D52762"/>
    <w:rsid w:val="00D52B4E"/>
    <w:rsid w:val="00D53409"/>
    <w:rsid w:val="00D635A2"/>
    <w:rsid w:val="00D63CBB"/>
    <w:rsid w:val="00D64733"/>
    <w:rsid w:val="00D74AE8"/>
    <w:rsid w:val="00D77218"/>
    <w:rsid w:val="00D775E1"/>
    <w:rsid w:val="00D77E98"/>
    <w:rsid w:val="00D85B7D"/>
    <w:rsid w:val="00D90E10"/>
    <w:rsid w:val="00D943FC"/>
    <w:rsid w:val="00D952EC"/>
    <w:rsid w:val="00DA01F6"/>
    <w:rsid w:val="00DA0F8F"/>
    <w:rsid w:val="00DA1D27"/>
    <w:rsid w:val="00DB0C22"/>
    <w:rsid w:val="00DB1AEF"/>
    <w:rsid w:val="00DB1B41"/>
    <w:rsid w:val="00DD73EC"/>
    <w:rsid w:val="00DE2549"/>
    <w:rsid w:val="00DE2EA8"/>
    <w:rsid w:val="00DE2F44"/>
    <w:rsid w:val="00DE46BF"/>
    <w:rsid w:val="00DE6CD4"/>
    <w:rsid w:val="00DE7058"/>
    <w:rsid w:val="00DF09D4"/>
    <w:rsid w:val="00E013A0"/>
    <w:rsid w:val="00E01739"/>
    <w:rsid w:val="00E01C9C"/>
    <w:rsid w:val="00E04380"/>
    <w:rsid w:val="00E04485"/>
    <w:rsid w:val="00E06135"/>
    <w:rsid w:val="00E07085"/>
    <w:rsid w:val="00E11DC1"/>
    <w:rsid w:val="00E14C29"/>
    <w:rsid w:val="00E170B5"/>
    <w:rsid w:val="00E21207"/>
    <w:rsid w:val="00E2662D"/>
    <w:rsid w:val="00E275B2"/>
    <w:rsid w:val="00E3400A"/>
    <w:rsid w:val="00E357E0"/>
    <w:rsid w:val="00E42E56"/>
    <w:rsid w:val="00E51FD1"/>
    <w:rsid w:val="00E56F6B"/>
    <w:rsid w:val="00E65178"/>
    <w:rsid w:val="00E7045C"/>
    <w:rsid w:val="00E738F3"/>
    <w:rsid w:val="00E76741"/>
    <w:rsid w:val="00E8243B"/>
    <w:rsid w:val="00E826BB"/>
    <w:rsid w:val="00E8468F"/>
    <w:rsid w:val="00E86829"/>
    <w:rsid w:val="00E90071"/>
    <w:rsid w:val="00EA4899"/>
    <w:rsid w:val="00EA5312"/>
    <w:rsid w:val="00EB14C2"/>
    <w:rsid w:val="00EB1A20"/>
    <w:rsid w:val="00EB3C13"/>
    <w:rsid w:val="00EC23DF"/>
    <w:rsid w:val="00EC3A06"/>
    <w:rsid w:val="00ED2BE0"/>
    <w:rsid w:val="00ED3E3C"/>
    <w:rsid w:val="00ED52AD"/>
    <w:rsid w:val="00EE7652"/>
    <w:rsid w:val="00EF1590"/>
    <w:rsid w:val="00EF7FC4"/>
    <w:rsid w:val="00F0722A"/>
    <w:rsid w:val="00F12C9B"/>
    <w:rsid w:val="00F13BE6"/>
    <w:rsid w:val="00F149BB"/>
    <w:rsid w:val="00F14F53"/>
    <w:rsid w:val="00F16A97"/>
    <w:rsid w:val="00F20FC5"/>
    <w:rsid w:val="00F240AF"/>
    <w:rsid w:val="00F24C44"/>
    <w:rsid w:val="00F2661B"/>
    <w:rsid w:val="00F308F4"/>
    <w:rsid w:val="00F31C3A"/>
    <w:rsid w:val="00F31F5D"/>
    <w:rsid w:val="00F3259B"/>
    <w:rsid w:val="00F32F2F"/>
    <w:rsid w:val="00F466A7"/>
    <w:rsid w:val="00F467D4"/>
    <w:rsid w:val="00F55166"/>
    <w:rsid w:val="00F560DE"/>
    <w:rsid w:val="00F61098"/>
    <w:rsid w:val="00F7165C"/>
    <w:rsid w:val="00F73A94"/>
    <w:rsid w:val="00F838D8"/>
    <w:rsid w:val="00F871F0"/>
    <w:rsid w:val="00F91491"/>
    <w:rsid w:val="00F96064"/>
    <w:rsid w:val="00F96FA4"/>
    <w:rsid w:val="00F97563"/>
    <w:rsid w:val="00FA1692"/>
    <w:rsid w:val="00FA2524"/>
    <w:rsid w:val="00FA3327"/>
    <w:rsid w:val="00FA4D75"/>
    <w:rsid w:val="00FB3ACD"/>
    <w:rsid w:val="00FC149F"/>
    <w:rsid w:val="00FC1596"/>
    <w:rsid w:val="00FD420D"/>
    <w:rsid w:val="00FE14E7"/>
    <w:rsid w:val="00FE62F8"/>
    <w:rsid w:val="00FF79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CFF6EEF4-6657-4E4B-B18D-65707C593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7BBB"/>
    <w:rPr>
      <w:rFonts w:ascii="Times New Roman" w:eastAsia="Times New Roman" w:hAnsi="Times New Roman"/>
      <w:sz w:val="24"/>
      <w:szCs w:val="24"/>
    </w:rPr>
  </w:style>
  <w:style w:type="paragraph" w:styleId="Heading1">
    <w:name w:val="heading 1"/>
    <w:basedOn w:val="Normal"/>
    <w:next w:val="Normal"/>
    <w:link w:val="Heading1Char"/>
    <w:autoRedefine/>
    <w:uiPriority w:val="9"/>
    <w:qFormat/>
    <w:rsid w:val="00B9509B"/>
    <w:pPr>
      <w:keepNext/>
      <w:numPr>
        <w:numId w:val="11"/>
      </w:numPr>
      <w:spacing w:before="240" w:after="120"/>
      <w:ind w:left="630" w:hanging="630"/>
      <w:outlineLvl w:val="0"/>
    </w:pPr>
    <w:rPr>
      <w:b/>
      <w:bCs/>
      <w:kern w:val="32"/>
      <w:sz w:val="26"/>
      <w:szCs w:val="32"/>
    </w:rPr>
  </w:style>
  <w:style w:type="paragraph" w:styleId="Heading2">
    <w:name w:val="heading 2"/>
    <w:basedOn w:val="Normal"/>
    <w:next w:val="Normal"/>
    <w:link w:val="Heading2Char"/>
    <w:autoRedefine/>
    <w:uiPriority w:val="99"/>
    <w:qFormat/>
    <w:rsid w:val="002C0E9C"/>
    <w:pPr>
      <w:widowControl w:val="0"/>
      <w:autoSpaceDE w:val="0"/>
      <w:autoSpaceDN w:val="0"/>
      <w:adjustRightInd w:val="0"/>
      <w:spacing w:before="180" w:after="180"/>
      <w:outlineLvl w:val="1"/>
    </w:pPr>
    <w:rPr>
      <w:b/>
      <w:color w:val="000000"/>
      <w:kern w:val="24"/>
      <w:szCs w:val="56"/>
    </w:rPr>
  </w:style>
  <w:style w:type="paragraph" w:styleId="Heading3">
    <w:name w:val="heading 3"/>
    <w:basedOn w:val="Normal"/>
    <w:next w:val="Normal"/>
    <w:link w:val="Heading3Char"/>
    <w:uiPriority w:val="9"/>
    <w:unhideWhenUsed/>
    <w:qFormat/>
    <w:rsid w:val="001E01BE"/>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60389D"/>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813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466B1"/>
    <w:pPr>
      <w:tabs>
        <w:tab w:val="center" w:pos="4680"/>
        <w:tab w:val="right" w:pos="9360"/>
      </w:tabs>
    </w:pPr>
  </w:style>
  <w:style w:type="character" w:customStyle="1" w:styleId="HeaderChar">
    <w:name w:val="Header Char"/>
    <w:link w:val="Header"/>
    <w:uiPriority w:val="99"/>
    <w:rsid w:val="004466B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466B1"/>
    <w:pPr>
      <w:tabs>
        <w:tab w:val="center" w:pos="4680"/>
        <w:tab w:val="right" w:pos="9360"/>
      </w:tabs>
    </w:pPr>
  </w:style>
  <w:style w:type="character" w:customStyle="1" w:styleId="FooterChar">
    <w:name w:val="Footer Char"/>
    <w:link w:val="Footer"/>
    <w:uiPriority w:val="99"/>
    <w:rsid w:val="004466B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466B1"/>
    <w:rPr>
      <w:rFonts w:ascii="Tahoma" w:hAnsi="Tahoma" w:cs="Tahoma"/>
      <w:sz w:val="16"/>
      <w:szCs w:val="16"/>
    </w:rPr>
  </w:style>
  <w:style w:type="character" w:customStyle="1" w:styleId="BalloonTextChar">
    <w:name w:val="Balloon Text Char"/>
    <w:link w:val="BalloonText"/>
    <w:uiPriority w:val="99"/>
    <w:semiHidden/>
    <w:rsid w:val="004466B1"/>
    <w:rPr>
      <w:rFonts w:ascii="Tahoma" w:eastAsia="Times New Roman" w:hAnsi="Tahoma" w:cs="Tahoma"/>
      <w:sz w:val="16"/>
      <w:szCs w:val="16"/>
    </w:rPr>
  </w:style>
  <w:style w:type="paragraph" w:styleId="ListParagraph">
    <w:name w:val="List Paragraph"/>
    <w:basedOn w:val="Normal"/>
    <w:uiPriority w:val="34"/>
    <w:qFormat/>
    <w:rsid w:val="00EA4899"/>
    <w:pPr>
      <w:ind w:left="720"/>
      <w:contextualSpacing/>
    </w:pPr>
  </w:style>
  <w:style w:type="character" w:styleId="CommentReference">
    <w:name w:val="annotation reference"/>
    <w:semiHidden/>
    <w:rsid w:val="00581B88"/>
    <w:rPr>
      <w:sz w:val="16"/>
      <w:szCs w:val="16"/>
    </w:rPr>
  </w:style>
  <w:style w:type="paragraph" w:styleId="CommentText">
    <w:name w:val="annotation text"/>
    <w:basedOn w:val="Normal"/>
    <w:link w:val="CommentTextChar"/>
    <w:semiHidden/>
    <w:rsid w:val="00581B88"/>
    <w:rPr>
      <w:sz w:val="20"/>
      <w:szCs w:val="20"/>
    </w:rPr>
  </w:style>
  <w:style w:type="paragraph" w:styleId="CommentSubject">
    <w:name w:val="annotation subject"/>
    <w:basedOn w:val="CommentText"/>
    <w:next w:val="CommentText"/>
    <w:semiHidden/>
    <w:rsid w:val="00581B88"/>
    <w:rPr>
      <w:b/>
      <w:bCs/>
    </w:rPr>
  </w:style>
  <w:style w:type="character" w:customStyle="1" w:styleId="CommentTextChar">
    <w:name w:val="Comment Text Char"/>
    <w:link w:val="CommentText"/>
    <w:semiHidden/>
    <w:rsid w:val="00354CA7"/>
    <w:rPr>
      <w:rFonts w:ascii="Times New Roman" w:eastAsia="Times New Roman" w:hAnsi="Times New Roman"/>
    </w:rPr>
  </w:style>
  <w:style w:type="character" w:styleId="Hyperlink">
    <w:name w:val="Hyperlink"/>
    <w:uiPriority w:val="99"/>
    <w:unhideWhenUsed/>
    <w:rsid w:val="00414C93"/>
    <w:rPr>
      <w:color w:val="0000FF"/>
      <w:u w:val="single"/>
    </w:rPr>
  </w:style>
  <w:style w:type="paragraph" w:styleId="Revision">
    <w:name w:val="Revision"/>
    <w:hidden/>
    <w:uiPriority w:val="99"/>
    <w:semiHidden/>
    <w:rsid w:val="00D635A2"/>
    <w:rPr>
      <w:rFonts w:ascii="Times New Roman" w:eastAsia="Times New Roman" w:hAnsi="Times New Roman"/>
      <w:sz w:val="24"/>
      <w:szCs w:val="24"/>
    </w:rPr>
  </w:style>
  <w:style w:type="paragraph" w:styleId="NormalWeb">
    <w:name w:val="Normal (Web)"/>
    <w:basedOn w:val="Normal"/>
    <w:uiPriority w:val="99"/>
    <w:semiHidden/>
    <w:unhideWhenUsed/>
    <w:rsid w:val="00207AB7"/>
    <w:pPr>
      <w:spacing w:before="100" w:beforeAutospacing="1" w:after="100" w:afterAutospacing="1"/>
    </w:pPr>
  </w:style>
  <w:style w:type="character" w:customStyle="1" w:styleId="Heading2Char">
    <w:name w:val="Heading 2 Char"/>
    <w:link w:val="Heading2"/>
    <w:uiPriority w:val="99"/>
    <w:rsid w:val="002C0E9C"/>
    <w:rPr>
      <w:rFonts w:ascii="Times New Roman" w:eastAsia="Times New Roman" w:hAnsi="Times New Roman"/>
      <w:b/>
      <w:color w:val="000000"/>
      <w:kern w:val="24"/>
      <w:sz w:val="24"/>
      <w:szCs w:val="56"/>
    </w:rPr>
  </w:style>
  <w:style w:type="character" w:customStyle="1" w:styleId="Heading1Char">
    <w:name w:val="Heading 1 Char"/>
    <w:link w:val="Heading1"/>
    <w:uiPriority w:val="9"/>
    <w:rsid w:val="00B9509B"/>
    <w:rPr>
      <w:rFonts w:ascii="Times New Roman" w:eastAsia="Times New Roman" w:hAnsi="Times New Roman"/>
      <w:b/>
      <w:bCs/>
      <w:kern w:val="32"/>
      <w:sz w:val="26"/>
      <w:szCs w:val="32"/>
    </w:rPr>
  </w:style>
  <w:style w:type="character" w:customStyle="1" w:styleId="Heading3Char">
    <w:name w:val="Heading 3 Char"/>
    <w:link w:val="Heading3"/>
    <w:uiPriority w:val="9"/>
    <w:rsid w:val="001E01BE"/>
    <w:rPr>
      <w:rFonts w:ascii="Cambria" w:eastAsia="Times New Roman" w:hAnsi="Cambria" w:cs="Times New Roman"/>
      <w:b/>
      <w:bCs/>
      <w:sz w:val="26"/>
      <w:szCs w:val="26"/>
    </w:rPr>
  </w:style>
  <w:style w:type="paragraph" w:styleId="TOCHeading">
    <w:name w:val="TOC Heading"/>
    <w:basedOn w:val="Heading1"/>
    <w:next w:val="Normal"/>
    <w:uiPriority w:val="39"/>
    <w:unhideWhenUsed/>
    <w:qFormat/>
    <w:rsid w:val="00BD1E17"/>
    <w:pPr>
      <w:keepLines/>
      <w:spacing w:before="480" w:after="0" w:line="276" w:lineRule="auto"/>
      <w:outlineLvl w:val="9"/>
    </w:pPr>
    <w:rPr>
      <w:color w:val="365F91"/>
      <w:kern w:val="0"/>
      <w:sz w:val="28"/>
      <w:szCs w:val="28"/>
      <w:lang w:eastAsia="ja-JP"/>
    </w:rPr>
  </w:style>
  <w:style w:type="paragraph" w:styleId="TOC2">
    <w:name w:val="toc 2"/>
    <w:basedOn w:val="Normal"/>
    <w:next w:val="Normal"/>
    <w:autoRedefine/>
    <w:uiPriority w:val="39"/>
    <w:unhideWhenUsed/>
    <w:rsid w:val="00BD1E17"/>
    <w:pPr>
      <w:ind w:left="240"/>
    </w:pPr>
  </w:style>
  <w:style w:type="paragraph" w:styleId="TOC1">
    <w:name w:val="toc 1"/>
    <w:basedOn w:val="Normal"/>
    <w:next w:val="Normal"/>
    <w:autoRedefine/>
    <w:uiPriority w:val="39"/>
    <w:unhideWhenUsed/>
    <w:rsid w:val="009E4637"/>
    <w:pPr>
      <w:tabs>
        <w:tab w:val="left" w:pos="630"/>
        <w:tab w:val="right" w:leader="dot" w:pos="9350"/>
      </w:tabs>
      <w:spacing w:after="180"/>
      <w:ind w:left="630" w:hanging="630"/>
    </w:pPr>
  </w:style>
  <w:style w:type="paragraph" w:styleId="TOC3">
    <w:name w:val="toc 3"/>
    <w:basedOn w:val="Normal"/>
    <w:next w:val="Normal"/>
    <w:autoRedefine/>
    <w:uiPriority w:val="39"/>
    <w:unhideWhenUsed/>
    <w:rsid w:val="00BD1E17"/>
    <w:pPr>
      <w:ind w:left="480"/>
    </w:pPr>
  </w:style>
  <w:style w:type="character" w:customStyle="1" w:styleId="Heading4Char">
    <w:name w:val="Heading 4 Char"/>
    <w:basedOn w:val="DefaultParagraphFont"/>
    <w:link w:val="Heading4"/>
    <w:uiPriority w:val="9"/>
    <w:semiHidden/>
    <w:rsid w:val="0060389D"/>
    <w:rPr>
      <w:rFonts w:asciiTheme="minorHAnsi" w:eastAsiaTheme="minorEastAsia" w:hAnsiTheme="minorHAnsi" w:cstheme="minorBidi"/>
      <w:b/>
      <w:bCs/>
      <w:sz w:val="28"/>
      <w:szCs w:val="28"/>
    </w:rPr>
  </w:style>
  <w:style w:type="character" w:styleId="FollowedHyperlink">
    <w:name w:val="FollowedHyperlink"/>
    <w:basedOn w:val="DefaultParagraphFont"/>
    <w:uiPriority w:val="99"/>
    <w:semiHidden/>
    <w:unhideWhenUsed/>
    <w:rsid w:val="00471FD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534735">
      <w:bodyDiv w:val="1"/>
      <w:marLeft w:val="0"/>
      <w:marRight w:val="0"/>
      <w:marTop w:val="0"/>
      <w:marBottom w:val="0"/>
      <w:divBdr>
        <w:top w:val="none" w:sz="0" w:space="0" w:color="auto"/>
        <w:left w:val="none" w:sz="0" w:space="0" w:color="auto"/>
        <w:bottom w:val="none" w:sz="0" w:space="0" w:color="auto"/>
        <w:right w:val="none" w:sz="0" w:space="0" w:color="auto"/>
      </w:divBdr>
    </w:div>
    <w:div w:id="325985617">
      <w:bodyDiv w:val="1"/>
      <w:marLeft w:val="0"/>
      <w:marRight w:val="0"/>
      <w:marTop w:val="0"/>
      <w:marBottom w:val="0"/>
      <w:divBdr>
        <w:top w:val="none" w:sz="0" w:space="0" w:color="auto"/>
        <w:left w:val="none" w:sz="0" w:space="0" w:color="auto"/>
        <w:bottom w:val="none" w:sz="0" w:space="0" w:color="auto"/>
        <w:right w:val="none" w:sz="0" w:space="0" w:color="auto"/>
      </w:divBdr>
    </w:div>
    <w:div w:id="561987298">
      <w:bodyDiv w:val="1"/>
      <w:marLeft w:val="0"/>
      <w:marRight w:val="0"/>
      <w:marTop w:val="0"/>
      <w:marBottom w:val="0"/>
      <w:divBdr>
        <w:top w:val="none" w:sz="0" w:space="0" w:color="auto"/>
        <w:left w:val="none" w:sz="0" w:space="0" w:color="auto"/>
        <w:bottom w:val="none" w:sz="0" w:space="0" w:color="auto"/>
        <w:right w:val="none" w:sz="0" w:space="0" w:color="auto"/>
      </w:divBdr>
    </w:div>
    <w:div w:id="684282582">
      <w:bodyDiv w:val="1"/>
      <w:marLeft w:val="0"/>
      <w:marRight w:val="0"/>
      <w:marTop w:val="0"/>
      <w:marBottom w:val="0"/>
      <w:divBdr>
        <w:top w:val="none" w:sz="0" w:space="0" w:color="auto"/>
        <w:left w:val="none" w:sz="0" w:space="0" w:color="auto"/>
        <w:bottom w:val="none" w:sz="0" w:space="0" w:color="auto"/>
        <w:right w:val="none" w:sz="0" w:space="0" w:color="auto"/>
      </w:divBdr>
    </w:div>
    <w:div w:id="978875054">
      <w:bodyDiv w:val="1"/>
      <w:marLeft w:val="0"/>
      <w:marRight w:val="0"/>
      <w:marTop w:val="0"/>
      <w:marBottom w:val="0"/>
      <w:divBdr>
        <w:top w:val="none" w:sz="0" w:space="0" w:color="auto"/>
        <w:left w:val="none" w:sz="0" w:space="0" w:color="auto"/>
        <w:bottom w:val="none" w:sz="0" w:space="0" w:color="auto"/>
        <w:right w:val="none" w:sz="0" w:space="0" w:color="auto"/>
      </w:divBdr>
    </w:div>
    <w:div w:id="1004013749">
      <w:bodyDiv w:val="1"/>
      <w:marLeft w:val="0"/>
      <w:marRight w:val="0"/>
      <w:marTop w:val="0"/>
      <w:marBottom w:val="0"/>
      <w:divBdr>
        <w:top w:val="none" w:sz="0" w:space="0" w:color="auto"/>
        <w:left w:val="none" w:sz="0" w:space="0" w:color="auto"/>
        <w:bottom w:val="none" w:sz="0" w:space="0" w:color="auto"/>
        <w:right w:val="none" w:sz="0" w:space="0" w:color="auto"/>
      </w:divBdr>
    </w:div>
    <w:div w:id="1165627953">
      <w:bodyDiv w:val="1"/>
      <w:marLeft w:val="0"/>
      <w:marRight w:val="0"/>
      <w:marTop w:val="0"/>
      <w:marBottom w:val="0"/>
      <w:divBdr>
        <w:top w:val="none" w:sz="0" w:space="0" w:color="auto"/>
        <w:left w:val="none" w:sz="0" w:space="0" w:color="auto"/>
        <w:bottom w:val="none" w:sz="0" w:space="0" w:color="auto"/>
        <w:right w:val="none" w:sz="0" w:space="0" w:color="auto"/>
      </w:divBdr>
    </w:div>
    <w:div w:id="1176652382">
      <w:bodyDiv w:val="1"/>
      <w:marLeft w:val="0"/>
      <w:marRight w:val="0"/>
      <w:marTop w:val="0"/>
      <w:marBottom w:val="0"/>
      <w:divBdr>
        <w:top w:val="none" w:sz="0" w:space="0" w:color="auto"/>
        <w:left w:val="none" w:sz="0" w:space="0" w:color="auto"/>
        <w:bottom w:val="none" w:sz="0" w:space="0" w:color="auto"/>
        <w:right w:val="none" w:sz="0" w:space="0" w:color="auto"/>
      </w:divBdr>
    </w:div>
    <w:div w:id="1362900228">
      <w:bodyDiv w:val="1"/>
      <w:marLeft w:val="0"/>
      <w:marRight w:val="0"/>
      <w:marTop w:val="0"/>
      <w:marBottom w:val="0"/>
      <w:divBdr>
        <w:top w:val="none" w:sz="0" w:space="0" w:color="auto"/>
        <w:left w:val="none" w:sz="0" w:space="0" w:color="auto"/>
        <w:bottom w:val="none" w:sz="0" w:space="0" w:color="auto"/>
        <w:right w:val="none" w:sz="0" w:space="0" w:color="auto"/>
      </w:divBdr>
    </w:div>
    <w:div w:id="1510217658">
      <w:bodyDiv w:val="1"/>
      <w:marLeft w:val="0"/>
      <w:marRight w:val="0"/>
      <w:marTop w:val="0"/>
      <w:marBottom w:val="0"/>
      <w:divBdr>
        <w:top w:val="none" w:sz="0" w:space="0" w:color="auto"/>
        <w:left w:val="none" w:sz="0" w:space="0" w:color="auto"/>
        <w:bottom w:val="none" w:sz="0" w:space="0" w:color="auto"/>
        <w:right w:val="none" w:sz="0" w:space="0" w:color="auto"/>
      </w:divBdr>
    </w:div>
    <w:div w:id="1564869225">
      <w:bodyDiv w:val="1"/>
      <w:marLeft w:val="0"/>
      <w:marRight w:val="0"/>
      <w:marTop w:val="0"/>
      <w:marBottom w:val="0"/>
      <w:divBdr>
        <w:top w:val="none" w:sz="0" w:space="0" w:color="auto"/>
        <w:left w:val="none" w:sz="0" w:space="0" w:color="auto"/>
        <w:bottom w:val="none" w:sz="0" w:space="0" w:color="auto"/>
        <w:right w:val="none" w:sz="0" w:space="0" w:color="auto"/>
      </w:divBdr>
    </w:div>
    <w:div w:id="2085714082">
      <w:bodyDiv w:val="1"/>
      <w:marLeft w:val="0"/>
      <w:marRight w:val="0"/>
      <w:marTop w:val="0"/>
      <w:marBottom w:val="0"/>
      <w:divBdr>
        <w:top w:val="none" w:sz="0" w:space="0" w:color="auto"/>
        <w:left w:val="none" w:sz="0" w:space="0" w:color="auto"/>
        <w:bottom w:val="none" w:sz="0" w:space="0" w:color="auto"/>
        <w:right w:val="none" w:sz="0" w:space="0" w:color="auto"/>
      </w:divBdr>
    </w:div>
    <w:div w:id="2088182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A006E-3EEC-4BA2-8B6A-0440913EC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4089</Words>
  <Characters>23308</Characters>
  <Application>Microsoft Office Word</Application>
  <DocSecurity>4</DocSecurity>
  <Lines>194</Lines>
  <Paragraphs>54</Paragraphs>
  <ScaleCrop>false</ScaleCrop>
  <HeadingPairs>
    <vt:vector size="2" baseType="variant">
      <vt:variant>
        <vt:lpstr>Title</vt:lpstr>
      </vt:variant>
      <vt:variant>
        <vt:i4>1</vt:i4>
      </vt:variant>
    </vt:vector>
  </HeadingPairs>
  <TitlesOfParts>
    <vt:vector size="1" baseType="lpstr">
      <vt:lpstr>CoC Debriefing Summary</vt:lpstr>
    </vt:vector>
  </TitlesOfParts>
  <Company>Housing and Urban Development</Company>
  <LinksUpToDate>false</LinksUpToDate>
  <CharactersWithSpaces>27343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CoC Debriefing Summary</dc:title>
  <dc:creator>H23043</dc:creator>
  <cp:lastModifiedBy>Ito, Marsha E</cp:lastModifiedBy>
  <cp:revision>2</cp:revision>
  <cp:lastPrinted>2016-05-19T15:59:00Z</cp:lastPrinted>
  <dcterms:created xsi:type="dcterms:W3CDTF">2016-05-23T17:56:00Z</dcterms:created>
  <dcterms:modified xsi:type="dcterms:W3CDTF">2016-05-23T17:56:00Z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